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19FB" w14:textId="77777777" w:rsidR="00BE3CF7" w:rsidRDefault="00BE3CF7" w:rsidP="00240ADB">
      <w:pPr>
        <w:pStyle w:val="Title"/>
        <w:rPr>
          <w:rFonts w:ascii="Times New Roman" w:hAnsi="Times New Roman" w:cs="Times New Roman"/>
          <w:sz w:val="24"/>
          <w:szCs w:val="24"/>
        </w:rPr>
      </w:pPr>
    </w:p>
    <w:p w14:paraId="0E2F48A8" w14:textId="77777777" w:rsidR="0059057B" w:rsidRPr="0059057B" w:rsidRDefault="0059057B" w:rsidP="0059057B"/>
    <w:p w14:paraId="0E3A7C89" w14:textId="592A67BF" w:rsidR="0041605A" w:rsidRPr="009144CD" w:rsidRDefault="0041605A" w:rsidP="009144CD">
      <w:pPr>
        <w:spacing w:line="240" w:lineRule="auto"/>
        <w:jc w:val="center"/>
        <w:rPr>
          <w:rFonts w:ascii="Times New Roman" w:eastAsia="Times New Roman" w:hAnsi="Times New Roman" w:cs="Times New Roman"/>
          <w:b/>
          <w:sz w:val="28"/>
          <w:szCs w:val="28"/>
        </w:rPr>
      </w:pPr>
      <w:r w:rsidRPr="0041605A">
        <w:rPr>
          <w:rFonts w:ascii="Times New Roman" w:eastAsia="Times New Roman" w:hAnsi="Times New Roman" w:cs="Times New Roman"/>
          <w:b/>
          <w:sz w:val="28"/>
          <w:szCs w:val="28"/>
        </w:rPr>
        <w:t xml:space="preserve">God as the </w:t>
      </w:r>
      <w:proofErr w:type="spellStart"/>
      <w:r w:rsidRPr="0041605A">
        <w:rPr>
          <w:rFonts w:ascii="Times New Roman" w:eastAsia="Times New Roman" w:hAnsi="Times New Roman" w:cs="Times New Roman"/>
          <w:b/>
          <w:sz w:val="28"/>
          <w:szCs w:val="28"/>
        </w:rPr>
        <w:t>Φωστήρ</w:t>
      </w:r>
      <w:proofErr w:type="spellEnd"/>
      <w:r w:rsidRPr="0041605A">
        <w:rPr>
          <w:rFonts w:ascii="Times New Roman" w:eastAsia="Times New Roman" w:hAnsi="Times New Roman" w:cs="Times New Roman"/>
          <w:b/>
          <w:sz w:val="28"/>
          <w:szCs w:val="28"/>
        </w:rPr>
        <w:t xml:space="preserve"> </w:t>
      </w:r>
      <w:r w:rsidR="000C29BA">
        <w:rPr>
          <w:rFonts w:ascii="Times New Roman" w:eastAsia="Times New Roman" w:hAnsi="Times New Roman" w:cs="Times New Roman"/>
          <w:b/>
          <w:sz w:val="28"/>
          <w:szCs w:val="28"/>
        </w:rPr>
        <w:t xml:space="preserve">(Light Source) </w:t>
      </w:r>
      <w:r w:rsidRPr="0041605A">
        <w:rPr>
          <w:rFonts w:ascii="Times New Roman" w:eastAsia="Times New Roman" w:hAnsi="Times New Roman" w:cs="Times New Roman"/>
          <w:b/>
          <w:sz w:val="28"/>
          <w:szCs w:val="28"/>
        </w:rPr>
        <w:t>of the New Jerusalem in Rev. 21.11</w:t>
      </w:r>
      <w:r w:rsidR="009144CD">
        <w:rPr>
          <w:rFonts w:ascii="Times New Roman" w:eastAsia="Times New Roman" w:hAnsi="Times New Roman" w:cs="Times New Roman"/>
          <w:b/>
          <w:sz w:val="28"/>
          <w:szCs w:val="28"/>
        </w:rPr>
        <w:br/>
      </w:r>
      <w:r w:rsidR="009144CD" w:rsidRPr="00CD18A4">
        <w:rPr>
          <w:rFonts w:ascii="Times New Roman" w:eastAsia="Times New Roman" w:hAnsi="Times New Roman" w:cs="Times New Roman"/>
          <w:bCs/>
          <w:sz w:val="28"/>
          <w:szCs w:val="28"/>
        </w:rPr>
        <w:t>J. Webb Mealy, PhD (retired)</w:t>
      </w:r>
    </w:p>
    <w:p w14:paraId="16004643" w14:textId="6DD5FB57" w:rsidR="00C05DE5" w:rsidRDefault="00C05DE5" w:rsidP="00C05DE5">
      <w:pPr>
        <w:pStyle w:val="MainHeading"/>
      </w:pPr>
      <w:r>
        <w:t>Abstract</w:t>
      </w:r>
    </w:p>
    <w:p w14:paraId="651700E7" w14:textId="51BC6970" w:rsidR="00C05DE5" w:rsidRDefault="0093288E" w:rsidP="00E950FD">
      <w:pPr>
        <w:pStyle w:val="MainText"/>
      </w:pPr>
      <w:r>
        <w:t xml:space="preserve">John refers to the </w:t>
      </w:r>
      <w:r w:rsidR="00C05DE5">
        <w:rPr>
          <w:lang w:val="el-GR"/>
        </w:rPr>
        <w:t>φωστη</w:t>
      </w:r>
      <w:r w:rsidR="00C05DE5" w:rsidRPr="0093288E">
        <w:t>́</w:t>
      </w:r>
      <w:r w:rsidR="00C05DE5">
        <w:rPr>
          <w:lang w:val="el-GR"/>
        </w:rPr>
        <w:t>ρ</w:t>
      </w:r>
      <w:r>
        <w:t xml:space="preserve"> of the New Jerusalem in Rev. 21:11. This word is almost always translated by words like “radiance” and “brilliance,” conveying the idea that </w:t>
      </w:r>
      <w:r>
        <w:rPr>
          <w:lang w:val="el-GR"/>
        </w:rPr>
        <w:t>φωστη</w:t>
      </w:r>
      <w:r w:rsidRPr="0093288E">
        <w:t>́</w:t>
      </w:r>
      <w:r>
        <w:rPr>
          <w:lang w:val="el-GR"/>
        </w:rPr>
        <w:t>ρ</w:t>
      </w:r>
      <w:r>
        <w:t xml:space="preserve"> is the glow that comes from the New Jerusalem. The author of this article proves, by means of careful exegesis, that the widely-attested normal meaning of </w:t>
      </w:r>
      <w:r>
        <w:rPr>
          <w:lang w:val="el-GR"/>
        </w:rPr>
        <w:t>φωστη</w:t>
      </w:r>
      <w:r w:rsidRPr="0093288E">
        <w:t>́</w:t>
      </w:r>
      <w:r>
        <w:rPr>
          <w:lang w:val="el-GR"/>
        </w:rPr>
        <w:t>ρ</w:t>
      </w:r>
      <w:r>
        <w:t xml:space="preserve"> in ancient Greek, “luminary” or “light source,” is the only meaning justified by any ancient text, including Rev. 21:11 and the two other texts alleged to require the meaning “radiance”: </w:t>
      </w:r>
      <w:r w:rsidRPr="0093288E">
        <w:t>1</w:t>
      </w:r>
      <w:r w:rsidR="00E950FD">
        <w:t> </w:t>
      </w:r>
      <w:r w:rsidRPr="0093288E">
        <w:t>Esdras 8:76 LXX</w:t>
      </w:r>
      <w:r>
        <w:t xml:space="preserve"> and </w:t>
      </w:r>
      <w:proofErr w:type="spellStart"/>
      <w:r w:rsidRPr="0093288E">
        <w:t>Anthologia</w:t>
      </w:r>
      <w:proofErr w:type="spellEnd"/>
      <w:r w:rsidRPr="0093288E">
        <w:t xml:space="preserve"> </w:t>
      </w:r>
      <w:proofErr w:type="spellStart"/>
      <w:r w:rsidRPr="0093288E">
        <w:t>Palatina</w:t>
      </w:r>
      <w:proofErr w:type="spellEnd"/>
      <w:r w:rsidRPr="0093288E">
        <w:t xml:space="preserve"> </w:t>
      </w:r>
      <w:proofErr w:type="spellStart"/>
      <w:r w:rsidRPr="0093288E">
        <w:t>Planudea</w:t>
      </w:r>
      <w:proofErr w:type="spellEnd"/>
      <w:r>
        <w:t xml:space="preserve"> 4.</w:t>
      </w:r>
      <w:r w:rsidRPr="0093288E">
        <w:t>11, Epigram 359</w:t>
      </w:r>
      <w:r>
        <w:t xml:space="preserve"> line 7. The author </w:t>
      </w:r>
      <w:r w:rsidR="00E950FD">
        <w:t xml:space="preserve">argues that a correct translation of Rev. 21:11 leads to the conclusion that John intends his readers to be reminded of John’s vision of God on his throne in Rev. 4:3, since in that verse he said that the Enthroned One appeared “like a jasper,” and in 21:11 he says that “her luminary [i.e. God] was “like a precious stone, like a jasper stone.” This connection in turn invites two </w:t>
      </w:r>
      <w:r w:rsidR="00781C20">
        <w:t>surprising</w:t>
      </w:r>
      <w:r w:rsidR="00E950FD">
        <w:t xml:space="preserve"> ideas: that the New Jerusalem itself is being pictured as God’s throne in the new creation (cf. Jer. 3:</w:t>
      </w:r>
      <w:r w:rsidR="00781C20">
        <w:t>17)</w:t>
      </w:r>
      <w:r w:rsidR="00E950FD">
        <w:t>, and that the “great white throne</w:t>
      </w:r>
      <w:r w:rsidR="00781C20">
        <w:t>,</w:t>
      </w:r>
      <w:r w:rsidR="00E950FD">
        <w:t>” before which the dead—and the resurrected dead—were seen being judged in Rev. 20:11-15</w:t>
      </w:r>
      <w:r w:rsidR="00781C20">
        <w:t xml:space="preserve">, is none other than </w:t>
      </w:r>
      <w:r w:rsidR="00781C20">
        <w:t xml:space="preserve">the New </w:t>
      </w:r>
      <w:r w:rsidR="00781C20">
        <w:t>Jerusalem itself</w:t>
      </w:r>
      <w:r w:rsidR="00E950FD">
        <w:t>.</w:t>
      </w:r>
      <w:r w:rsidR="00781C20">
        <w:t xml:space="preserve"> This insight leads to a new and theologically significant understanding of the final confrontation between God and the implacable enemies of God and the faithful.</w:t>
      </w:r>
    </w:p>
    <w:p w14:paraId="7C274C63" w14:textId="29E48F11" w:rsidR="00781C20" w:rsidRDefault="00781C20" w:rsidP="00781C20">
      <w:pPr>
        <w:pStyle w:val="MainHeading"/>
      </w:pPr>
      <w:r>
        <w:t>Keywords</w:t>
      </w:r>
    </w:p>
    <w:p w14:paraId="0BB9C12A" w14:textId="1C47D94D" w:rsidR="00781C20" w:rsidRPr="00781C20" w:rsidRDefault="00781C20" w:rsidP="00781C20">
      <w:pPr>
        <w:pStyle w:val="MainText"/>
      </w:pPr>
      <w:r>
        <w:t xml:space="preserve">Rev. 21:11; Rev. 20:11; Rev. 21:9–22:5; Isa. 26:10-11; Isa. 27:1-5; Isa. 66:22-24; last judgment; </w:t>
      </w:r>
      <w:r>
        <w:rPr>
          <w:lang w:val="el-GR"/>
        </w:rPr>
        <w:t>φωστη</w:t>
      </w:r>
      <w:r w:rsidRPr="0093288E">
        <w:t>́</w:t>
      </w:r>
      <w:r>
        <w:rPr>
          <w:lang w:val="el-GR"/>
        </w:rPr>
        <w:t>ρ</w:t>
      </w:r>
      <w:r>
        <w:t>, lexicography, BAGD, LSJ, Bible translations, biblical eschatology, New Testament eschatology, Easter eggs in Revelation; recapitulation in Revelation</w:t>
      </w:r>
      <w:r>
        <w:t xml:space="preserve">, </w:t>
      </w:r>
      <w:r>
        <w:t xml:space="preserve">the theology of eschatological judgment, </w:t>
      </w:r>
      <w:r>
        <w:t>new creation millennialism</w:t>
      </w:r>
      <w:r>
        <w:t>.</w:t>
      </w:r>
    </w:p>
    <w:p w14:paraId="3290FE70" w14:textId="3E8A8671" w:rsidR="00751A34" w:rsidRDefault="00751A34" w:rsidP="00C05DE5">
      <w:pPr>
        <w:pStyle w:val="MainHeading"/>
      </w:pPr>
      <w:r>
        <w:t>Introduction</w:t>
      </w:r>
    </w:p>
    <w:p w14:paraId="20EFD43C" w14:textId="56BA2FFA" w:rsidR="00E019A7" w:rsidRDefault="0041605A" w:rsidP="00FD1B50">
      <w:pPr>
        <w:pStyle w:val="MainText"/>
      </w:pPr>
      <w:r>
        <w:t>In my 1992 monograph</w:t>
      </w:r>
      <w:r w:rsidR="00E019A7" w:rsidRPr="006C1B2D">
        <w:t xml:space="preserve"> </w:t>
      </w:r>
      <w:r w:rsidR="00E019A7" w:rsidRPr="00C97C2C">
        <w:rPr>
          <w:i/>
          <w:iCs/>
        </w:rPr>
        <w:t>After the Thousand Years</w:t>
      </w:r>
      <w:r w:rsidR="006950A5">
        <w:rPr>
          <w:i/>
          <w:iCs/>
        </w:rPr>
        <w:t>: Resurrection and Judgment in Revelation 20</w:t>
      </w:r>
      <w:r w:rsidR="003A01D9">
        <w:t>,</w:t>
      </w:r>
      <w:r w:rsidR="000C47EB" w:rsidRPr="006C1B2D">
        <w:rPr>
          <w:rStyle w:val="FootnoteReference"/>
        </w:rPr>
        <w:footnoteReference w:id="1"/>
      </w:r>
      <w:r w:rsidR="00E019A7" w:rsidRPr="006C1B2D">
        <w:t xml:space="preserve"> </w:t>
      </w:r>
      <w:r w:rsidR="003A01D9">
        <w:t xml:space="preserve">I </w:t>
      </w:r>
      <w:r>
        <w:t>argued that John</w:t>
      </w:r>
      <w:r w:rsidR="008A4AEB">
        <w:t xml:space="preserve"> </w:t>
      </w:r>
      <w:r w:rsidR="000C29BA">
        <w:t>clearly</w:t>
      </w:r>
      <w:r w:rsidR="008A4AEB">
        <w:t xml:space="preserve"> allude</w:t>
      </w:r>
      <w:r>
        <w:t>s</w:t>
      </w:r>
      <w:r w:rsidR="008A4AEB">
        <w:t xml:space="preserve"> in Rev. 21:11 </w:t>
      </w:r>
      <w:r>
        <w:t>to his first vision of God the Father on his throne in Rev. 4:3</w:t>
      </w:r>
      <w:r w:rsidR="008A4AEB">
        <w:t xml:space="preserve">, hence the New Jerusalem’s </w:t>
      </w:r>
      <w:r w:rsidR="008A4AEB">
        <w:rPr>
          <w:lang w:val="el-GR"/>
        </w:rPr>
        <w:t>φωστη</w:t>
      </w:r>
      <w:r w:rsidR="008A4AEB" w:rsidRPr="008A4AEB">
        <w:t>́</w:t>
      </w:r>
      <w:r w:rsidR="008A4AEB">
        <w:rPr>
          <w:lang w:val="el-GR"/>
        </w:rPr>
        <w:t>ρ</w:t>
      </w:r>
      <w:r w:rsidR="008A4AEB">
        <w:t xml:space="preserve">, her “luminary,” the source of her light, is God. </w:t>
      </w:r>
      <w:r w:rsidR="00FD1B50">
        <w:t xml:space="preserve">I </w:t>
      </w:r>
      <w:r w:rsidR="004708F6">
        <w:t>argued</w:t>
      </w:r>
      <w:r w:rsidR="00FD1B50">
        <w:t xml:space="preserve"> that this is confirmed in 21:23, when John writes that “</w:t>
      </w:r>
      <w:r w:rsidR="00FD1B50" w:rsidRPr="00FD1B50">
        <w:t xml:space="preserve">the city has no need of sun or moon to shine on it, for the glory of God gives it light, </w:t>
      </w:r>
      <w:r w:rsidR="00FD1B50" w:rsidRPr="00FD1B50">
        <w:lastRenderedPageBreak/>
        <w:t>and its lamp is the Lamb</w:t>
      </w:r>
      <w:r w:rsidR="00FD1B50">
        <w:t>.”</w:t>
      </w:r>
      <w:r w:rsidR="00FD1B50">
        <w:rPr>
          <w:rStyle w:val="FootnoteReference"/>
        </w:rPr>
        <w:footnoteReference w:id="2"/>
      </w:r>
      <w:r w:rsidR="00FD1B50">
        <w:t xml:space="preserve"> After all, the word </w:t>
      </w:r>
      <w:r w:rsidR="00FD1B50">
        <w:rPr>
          <w:lang w:val="el-GR"/>
        </w:rPr>
        <w:t>φωστη</w:t>
      </w:r>
      <w:r w:rsidR="00FD1B50" w:rsidRPr="00FD1B50">
        <w:t>́</w:t>
      </w:r>
      <w:r w:rsidR="00FD1B50">
        <w:rPr>
          <w:lang w:val="el-GR"/>
        </w:rPr>
        <w:t>ρ</w:t>
      </w:r>
      <w:r w:rsidR="00FD1B50" w:rsidRPr="00FD1B50">
        <w:t xml:space="preserve"> </w:t>
      </w:r>
      <w:r w:rsidR="00FD1B50">
        <w:t>is used in Gen. 1:14, 16 LXX when it is said,</w:t>
      </w:r>
    </w:p>
    <w:p w14:paraId="390F3642" w14:textId="17E587AD" w:rsidR="00354EC2" w:rsidRDefault="00FD1B50" w:rsidP="002609E1">
      <w:pPr>
        <w:pStyle w:val="indent"/>
      </w:pPr>
      <w:r w:rsidRPr="00FD1B50">
        <w:t xml:space="preserve">And God said, “Let there be lights </w:t>
      </w:r>
      <w:r w:rsidR="00354EC2">
        <w:t>(</w:t>
      </w:r>
      <w:r w:rsidR="00354EC2">
        <w:rPr>
          <w:lang w:val="el-GR"/>
        </w:rPr>
        <w:t>φωστη</w:t>
      </w:r>
      <w:r w:rsidR="00354EC2" w:rsidRPr="00354EC2">
        <w:t>͂</w:t>
      </w:r>
      <w:r w:rsidR="00354EC2">
        <w:rPr>
          <w:lang w:val="el-GR"/>
        </w:rPr>
        <w:t>ρες</w:t>
      </w:r>
      <w:r w:rsidR="00354EC2">
        <w:t xml:space="preserve">) </w:t>
      </w:r>
      <w:r w:rsidRPr="00FD1B50">
        <w:t xml:space="preserve">in the </w:t>
      </w:r>
      <w:r w:rsidR="00354EC2">
        <w:t>firmament</w:t>
      </w:r>
      <w:r w:rsidRPr="00FD1B50">
        <w:t xml:space="preserve"> of heaven</w:t>
      </w:r>
      <w:r w:rsidR="00CF299C">
        <w:t xml:space="preserve"> </w:t>
      </w:r>
      <w:r w:rsidR="00354EC2">
        <w:t xml:space="preserve">for illumination of </w:t>
      </w:r>
      <w:r w:rsidR="00CF299C">
        <w:t xml:space="preserve">the earth, </w:t>
      </w:r>
      <w:r w:rsidRPr="00FD1B50">
        <w:t>to separate the day from the night</w:t>
      </w:r>
      <w:r>
        <w:t>…</w:t>
      </w:r>
      <w:r w:rsidRPr="00FD1B50">
        <w:t>And God made the two great lights</w:t>
      </w:r>
      <w:r w:rsidR="00354EC2">
        <w:t xml:space="preserve"> (</w:t>
      </w:r>
      <w:r w:rsidR="00354EC2">
        <w:rPr>
          <w:lang w:val="el-GR"/>
        </w:rPr>
        <w:t>φωστη</w:t>
      </w:r>
      <w:r w:rsidR="00354EC2" w:rsidRPr="00354EC2">
        <w:t>͂</w:t>
      </w:r>
      <w:r w:rsidR="00354EC2">
        <w:rPr>
          <w:lang w:val="el-GR"/>
        </w:rPr>
        <w:t>ρες</w:t>
      </w:r>
      <w:r w:rsidR="00354EC2">
        <w:t>)</w:t>
      </w:r>
      <w:r w:rsidRPr="00FD1B50">
        <w:t xml:space="preserve">—the greater light </w:t>
      </w:r>
      <w:r w:rsidR="00354EC2">
        <w:t xml:space="preserve">to be in charge of </w:t>
      </w:r>
      <w:r w:rsidRPr="00FD1B50">
        <w:t xml:space="preserve">the day and the lesser light </w:t>
      </w:r>
      <w:r w:rsidR="00354EC2">
        <w:t xml:space="preserve">to be in charge of </w:t>
      </w:r>
      <w:r w:rsidRPr="00FD1B50">
        <w:t>the night</w:t>
      </w:r>
      <w:r>
        <w:t>.</w:t>
      </w:r>
      <w:r w:rsidR="00354EC2">
        <w:t>”</w:t>
      </w:r>
    </w:p>
    <w:p w14:paraId="25CEB4CC" w14:textId="5397EB28" w:rsidR="002609E1" w:rsidRPr="00DC1CA6" w:rsidRDefault="002609E1" w:rsidP="002609E1">
      <w:pPr>
        <w:pStyle w:val="MainText"/>
        <w:rPr>
          <w:iCs/>
        </w:rPr>
      </w:pPr>
      <w:r>
        <w:t xml:space="preserve">However obvious this may seem to me, I have not found any </w:t>
      </w:r>
      <w:r w:rsidR="00C05DE5">
        <w:t xml:space="preserve">major </w:t>
      </w:r>
      <w:r>
        <w:t xml:space="preserve">English translation of Rev. 21:11 that renders </w:t>
      </w:r>
      <w:r>
        <w:rPr>
          <w:lang w:val="el-GR"/>
        </w:rPr>
        <w:t>ο</w:t>
      </w:r>
      <w:r w:rsidRPr="002609E1">
        <w:t xml:space="preserve">̔ </w:t>
      </w:r>
      <w:r>
        <w:rPr>
          <w:lang w:val="el-GR"/>
        </w:rPr>
        <w:t>φωστη</w:t>
      </w:r>
      <w:r w:rsidRPr="002609E1">
        <w:t>̀</w:t>
      </w:r>
      <w:r>
        <w:rPr>
          <w:lang w:val="el-GR"/>
        </w:rPr>
        <w:t>ρ</w:t>
      </w:r>
      <w:r w:rsidRPr="002609E1">
        <w:t xml:space="preserve"> </w:t>
      </w:r>
      <w:r>
        <w:rPr>
          <w:lang w:val="el-GR"/>
        </w:rPr>
        <w:t>αυ</w:t>
      </w:r>
      <w:r w:rsidRPr="002609E1">
        <w:t>̓</w:t>
      </w:r>
      <w:r>
        <w:rPr>
          <w:lang w:val="el-GR"/>
        </w:rPr>
        <w:t>τη</w:t>
      </w:r>
      <w:r w:rsidRPr="002609E1">
        <w:t>͂</w:t>
      </w:r>
      <w:r>
        <w:rPr>
          <w:lang w:val="el-GR"/>
        </w:rPr>
        <w:t>ς</w:t>
      </w:r>
      <w:r w:rsidRPr="002609E1">
        <w:t xml:space="preserve"> </w:t>
      </w:r>
      <w:r>
        <w:t>as “her luminary,” or “the source of her light,” so that it can refer to God</w:t>
      </w:r>
      <w:r w:rsidR="00815E33">
        <w:t xml:space="preserve"> and/or the Lamb</w:t>
      </w:r>
      <w:r>
        <w:t>. They all use expressions like “her radiance,” or “her splendor,” or “her brilliance,”</w:t>
      </w:r>
      <w:r w:rsidR="006015AC">
        <w:rPr>
          <w:rStyle w:val="FootnoteReference"/>
        </w:rPr>
        <w:footnoteReference w:id="3"/>
      </w:r>
      <w:r>
        <w:t xml:space="preserve"> taking </w:t>
      </w:r>
      <w:r>
        <w:rPr>
          <w:lang w:val="el-GR"/>
        </w:rPr>
        <w:t>φωστη</w:t>
      </w:r>
      <w:r w:rsidRPr="002609E1">
        <w:t>́</w:t>
      </w:r>
      <w:r>
        <w:rPr>
          <w:lang w:val="el-GR"/>
        </w:rPr>
        <w:t>ρ</w:t>
      </w:r>
      <w:r>
        <w:t xml:space="preserve"> as describing a characteristic of the New Jerusalem, namely the fact that she emits </w:t>
      </w:r>
      <w:r w:rsidR="004708F6">
        <w:t xml:space="preserve">light </w:t>
      </w:r>
      <w:r>
        <w:t xml:space="preserve">or </w:t>
      </w:r>
      <w:r w:rsidR="004708F6">
        <w:t xml:space="preserve">shines with reflected </w:t>
      </w:r>
      <w:r>
        <w:t>light.</w:t>
      </w:r>
      <w:r w:rsidR="00815E33">
        <w:rPr>
          <w:rStyle w:val="FootnoteReference"/>
        </w:rPr>
        <w:footnoteReference w:id="4"/>
      </w:r>
      <w:r w:rsidR="006015AC">
        <w:t xml:space="preserve"> I also have not found any commentator in any </w:t>
      </w:r>
      <w:r w:rsidR="00DC1CA6">
        <w:t xml:space="preserve">European </w:t>
      </w:r>
      <w:r w:rsidR="006015AC">
        <w:t>language, with the single exception of Austin Farrer,</w:t>
      </w:r>
      <w:r w:rsidR="006015AC">
        <w:rPr>
          <w:rStyle w:val="FootnoteReference"/>
        </w:rPr>
        <w:footnoteReference w:id="5"/>
      </w:r>
      <w:r w:rsidR="006015AC">
        <w:t xml:space="preserve"> who </w:t>
      </w:r>
      <w:r w:rsidR="00DC1CA6">
        <w:t xml:space="preserve">agrees with me that </w:t>
      </w:r>
      <w:r w:rsidR="00DC1CA6">
        <w:rPr>
          <w:lang w:val="el-GR"/>
        </w:rPr>
        <w:t>ο</w:t>
      </w:r>
      <w:r w:rsidR="00DC1CA6" w:rsidRPr="00DC1CA6">
        <w:t xml:space="preserve">̔ </w:t>
      </w:r>
      <w:r w:rsidR="00DC1CA6">
        <w:rPr>
          <w:lang w:val="el-GR"/>
        </w:rPr>
        <w:t>φωστη</w:t>
      </w:r>
      <w:r w:rsidR="00DC1CA6" w:rsidRPr="00DC1CA6">
        <w:t>́</w:t>
      </w:r>
      <w:r w:rsidR="00DC1CA6">
        <w:rPr>
          <w:lang w:val="el-GR"/>
        </w:rPr>
        <w:t>ρ</w:t>
      </w:r>
      <w:r w:rsidR="00DC1CA6" w:rsidRPr="00DC1CA6">
        <w:t xml:space="preserve"> </w:t>
      </w:r>
      <w:r w:rsidR="00DC1CA6">
        <w:rPr>
          <w:lang w:val="el-GR"/>
        </w:rPr>
        <w:t>αυ</w:t>
      </w:r>
      <w:r w:rsidR="00DC1CA6" w:rsidRPr="00DC1CA6">
        <w:t>̓</w:t>
      </w:r>
      <w:r w:rsidR="00DC1CA6">
        <w:rPr>
          <w:lang w:val="el-GR"/>
        </w:rPr>
        <w:t>τη</w:t>
      </w:r>
      <w:r w:rsidR="00DC1CA6" w:rsidRPr="00DC1CA6">
        <w:t>͂</w:t>
      </w:r>
      <w:r w:rsidR="00DC1CA6">
        <w:rPr>
          <w:lang w:val="el-GR"/>
        </w:rPr>
        <w:t>ς</w:t>
      </w:r>
      <w:r w:rsidR="00DC1CA6">
        <w:t xml:space="preserve"> refers to God. As we will see below, some claim that </w:t>
      </w:r>
      <w:r w:rsidR="00DC1CA6">
        <w:rPr>
          <w:lang w:val="el-GR"/>
        </w:rPr>
        <w:t>ο</w:t>
      </w:r>
      <w:r w:rsidR="00DC1CA6" w:rsidRPr="00DC1CA6">
        <w:t xml:space="preserve">̔ </w:t>
      </w:r>
      <w:r w:rsidR="00DC1CA6">
        <w:rPr>
          <w:lang w:val="el-GR"/>
        </w:rPr>
        <w:t>φωστη</w:t>
      </w:r>
      <w:r w:rsidR="00DC1CA6" w:rsidRPr="00DC1CA6">
        <w:t>́</w:t>
      </w:r>
      <w:r w:rsidR="00DC1CA6">
        <w:rPr>
          <w:lang w:val="el-GR"/>
        </w:rPr>
        <w:t>ρ</w:t>
      </w:r>
      <w:r w:rsidR="00DC1CA6">
        <w:t xml:space="preserve"> refers to </w:t>
      </w:r>
      <w:r w:rsidR="00DC1CA6">
        <w:rPr>
          <w:i/>
        </w:rPr>
        <w:t>the glory of God</w:t>
      </w:r>
      <w:r w:rsidR="00DC1CA6">
        <w:rPr>
          <w:iCs/>
        </w:rPr>
        <w:t xml:space="preserve"> that shines on her, and some claim that </w:t>
      </w:r>
      <w:r w:rsidR="00DC1CA6">
        <w:rPr>
          <w:iCs/>
          <w:lang w:val="el-GR"/>
        </w:rPr>
        <w:t>ο</w:t>
      </w:r>
      <w:r w:rsidR="00DC1CA6" w:rsidRPr="00DC1CA6">
        <w:rPr>
          <w:iCs/>
        </w:rPr>
        <w:t xml:space="preserve">̔ </w:t>
      </w:r>
      <w:r w:rsidR="00DC1CA6">
        <w:rPr>
          <w:iCs/>
          <w:lang w:val="el-GR"/>
        </w:rPr>
        <w:t>φωστη</w:t>
      </w:r>
      <w:r w:rsidR="00DC1CA6" w:rsidRPr="00DC1CA6">
        <w:rPr>
          <w:iCs/>
        </w:rPr>
        <w:t>́</w:t>
      </w:r>
      <w:r w:rsidR="00DC1CA6">
        <w:rPr>
          <w:iCs/>
          <w:lang w:val="el-GR"/>
        </w:rPr>
        <w:t>ρ</w:t>
      </w:r>
      <w:r w:rsidR="00DC1CA6">
        <w:rPr>
          <w:iCs/>
        </w:rPr>
        <w:t xml:space="preserve"> refers to Christ (citing 21:23), but Farrer and I seem to be alone in affirming that John means </w:t>
      </w:r>
      <w:r w:rsidR="00E91392">
        <w:rPr>
          <w:iCs/>
        </w:rPr>
        <w:t xml:space="preserve">to refer to </w:t>
      </w:r>
      <w:r w:rsidR="00DC1CA6">
        <w:rPr>
          <w:iCs/>
        </w:rPr>
        <w:t xml:space="preserve">God. </w:t>
      </w:r>
      <w:r w:rsidR="00E91392">
        <w:rPr>
          <w:iCs/>
        </w:rPr>
        <w:t>F</w:t>
      </w:r>
      <w:r w:rsidR="00DC1CA6">
        <w:rPr>
          <w:iCs/>
        </w:rPr>
        <w:t xml:space="preserve">or reasons that will appear later, </w:t>
      </w:r>
      <w:r w:rsidR="00E91392">
        <w:rPr>
          <w:iCs/>
        </w:rPr>
        <w:t xml:space="preserve">I think this conclusion is </w:t>
      </w:r>
      <w:r w:rsidR="00991963">
        <w:rPr>
          <w:iCs/>
        </w:rPr>
        <w:t>significant</w:t>
      </w:r>
      <w:r w:rsidR="00E91392">
        <w:rPr>
          <w:iCs/>
        </w:rPr>
        <w:t xml:space="preserve">, </w:t>
      </w:r>
      <w:r w:rsidR="00DC1CA6">
        <w:rPr>
          <w:iCs/>
        </w:rPr>
        <w:t xml:space="preserve">so I will </w:t>
      </w:r>
      <w:r w:rsidR="00E91392">
        <w:rPr>
          <w:iCs/>
        </w:rPr>
        <w:t xml:space="preserve">now </w:t>
      </w:r>
      <w:r w:rsidR="00DC1CA6">
        <w:rPr>
          <w:iCs/>
        </w:rPr>
        <w:t xml:space="preserve">endeavor to build a </w:t>
      </w:r>
      <w:r w:rsidR="00086E1B">
        <w:rPr>
          <w:iCs/>
        </w:rPr>
        <w:t>strong</w:t>
      </w:r>
      <w:r w:rsidR="00DC1CA6">
        <w:rPr>
          <w:iCs/>
        </w:rPr>
        <w:t xml:space="preserve"> case in its defense</w:t>
      </w:r>
      <w:r w:rsidR="00E91392">
        <w:rPr>
          <w:iCs/>
        </w:rPr>
        <w:t>.</w:t>
      </w:r>
    </w:p>
    <w:p w14:paraId="2BADD006" w14:textId="72E69673" w:rsidR="00374D5F" w:rsidRDefault="00B87D10" w:rsidP="00E3048B">
      <w:pPr>
        <w:pStyle w:val="MainHeading"/>
      </w:pPr>
      <w:r>
        <w:t>When the Dictionaries Get it Wrong</w:t>
      </w:r>
    </w:p>
    <w:p w14:paraId="3FAB37EB" w14:textId="4BC166B3" w:rsidR="00C31FFD" w:rsidRDefault="00A21369" w:rsidP="00B87D10">
      <w:pPr>
        <w:pStyle w:val="MainText"/>
      </w:pPr>
      <w:r>
        <w:rPr>
          <w:lang w:val="el-GR"/>
        </w:rPr>
        <w:t>Φωστη</w:t>
      </w:r>
      <w:r w:rsidRPr="00A21369">
        <w:t>́</w:t>
      </w:r>
      <w:r>
        <w:rPr>
          <w:lang w:val="el-GR"/>
        </w:rPr>
        <w:t>ρ</w:t>
      </w:r>
      <w:r>
        <w:t xml:space="preserve"> is a well-used word in the world of ancient Greek.</w:t>
      </w:r>
      <w:r w:rsidR="00A7057E">
        <w:rPr>
          <w:rStyle w:val="FootnoteReference"/>
        </w:rPr>
        <w:footnoteReference w:id="6"/>
      </w:r>
      <w:r>
        <w:t xml:space="preserve"> It regularly refers to stars and other heavenly lights</w:t>
      </w:r>
      <w:r w:rsidR="00A7057E">
        <w:t>, especially</w:t>
      </w:r>
      <w:r>
        <w:t xml:space="preserve"> the sun and moon,</w:t>
      </w:r>
      <w:r w:rsidR="00751A34">
        <w:rPr>
          <w:rStyle w:val="FootnoteReference"/>
        </w:rPr>
        <w:footnoteReference w:id="7"/>
      </w:r>
      <w:r>
        <w:t xml:space="preserve"> and it also regularly refers metaphorically to kings, philosophers, politicians, and religious teachers.</w:t>
      </w:r>
      <w:bookmarkStart w:id="0" w:name="_Ref159581634"/>
      <w:r w:rsidR="00BD0903">
        <w:rPr>
          <w:rStyle w:val="FootnoteReference"/>
        </w:rPr>
        <w:footnoteReference w:id="8"/>
      </w:r>
      <w:bookmarkEnd w:id="0"/>
      <w:r>
        <w:t xml:space="preserve"> </w:t>
      </w:r>
      <w:r w:rsidR="00201770">
        <w:t xml:space="preserve">It can also refer </w:t>
      </w:r>
      <w:r w:rsidR="00201770">
        <w:lastRenderedPageBreak/>
        <w:t>to other things that are either literally or metaphorically sources of light such as windows</w:t>
      </w:r>
      <w:r w:rsidR="00201770">
        <w:rPr>
          <w:rStyle w:val="FootnoteReference"/>
        </w:rPr>
        <w:footnoteReference w:id="9"/>
      </w:r>
      <w:r w:rsidR="00201770">
        <w:t xml:space="preserve"> and people’s eyes.</w:t>
      </w:r>
      <w:r w:rsidR="006C3447">
        <w:rPr>
          <w:rStyle w:val="FootnoteReference"/>
        </w:rPr>
        <w:footnoteReference w:id="10"/>
      </w:r>
      <w:r w:rsidR="00201770">
        <w:t xml:space="preserve"> </w:t>
      </w:r>
      <w:r>
        <w:t xml:space="preserve">What it never does in </w:t>
      </w:r>
      <w:r w:rsidR="00201770">
        <w:t xml:space="preserve">any </w:t>
      </w:r>
      <w:r>
        <w:t>such contexts is to refer to the light that comes from the heavenly light source or</w:t>
      </w:r>
      <w:r w:rsidR="00C014A4">
        <w:t xml:space="preserve"> from</w:t>
      </w:r>
      <w:r>
        <w:t xml:space="preserve"> </w:t>
      </w:r>
      <w:r w:rsidR="00C31FFD">
        <w:t xml:space="preserve">the </w:t>
      </w:r>
      <w:r>
        <w:t xml:space="preserve">person who is being admired as “a star” or as “a beacon.” It is the </w:t>
      </w:r>
      <w:r w:rsidRPr="00C014A4">
        <w:rPr>
          <w:i/>
          <w:iCs/>
        </w:rPr>
        <w:t>star</w:t>
      </w:r>
      <w:r>
        <w:t xml:space="preserve"> or the </w:t>
      </w:r>
      <w:r w:rsidRPr="00C014A4">
        <w:rPr>
          <w:i/>
          <w:iCs/>
        </w:rPr>
        <w:t>person</w:t>
      </w:r>
      <w:r>
        <w:t xml:space="preserve"> that/who is the </w:t>
      </w:r>
      <w:r>
        <w:rPr>
          <w:lang w:val="el-GR"/>
        </w:rPr>
        <w:t>φωστη</w:t>
      </w:r>
      <w:r w:rsidRPr="00A21369">
        <w:t>́</w:t>
      </w:r>
      <w:r>
        <w:rPr>
          <w:lang w:val="el-GR"/>
        </w:rPr>
        <w:t>ρ</w:t>
      </w:r>
      <w:r>
        <w:t>, not their light.</w:t>
      </w:r>
      <w:r w:rsidR="00C014A4">
        <w:rPr>
          <w:rStyle w:val="FootnoteReference"/>
        </w:rPr>
        <w:footnoteReference w:id="11"/>
      </w:r>
      <w:r>
        <w:t xml:space="preserve"> </w:t>
      </w:r>
      <w:r w:rsidR="00B87D10">
        <w:t>Contemporary translator</w:t>
      </w:r>
      <w:r w:rsidR="006F71D6">
        <w:t>s of Rev. 21:11</w:t>
      </w:r>
      <w:r w:rsidR="00B87D10">
        <w:t xml:space="preserve">, trusting their authoritative Greek lexicons, </w:t>
      </w:r>
      <w:r w:rsidR="00BD0903">
        <w:t>could certainly be forgiven for</w:t>
      </w:r>
      <w:r w:rsidR="00B87D10">
        <w:t xml:space="preserve"> rendering </w:t>
      </w:r>
      <w:r w:rsidR="00B87D10">
        <w:rPr>
          <w:lang w:val="el-GR"/>
        </w:rPr>
        <w:t>ο</w:t>
      </w:r>
      <w:r w:rsidR="00B87D10" w:rsidRPr="00B87D10">
        <w:t xml:space="preserve">̔ </w:t>
      </w:r>
      <w:r w:rsidR="00B87D10">
        <w:rPr>
          <w:lang w:val="el-GR"/>
        </w:rPr>
        <w:t>φωστη</w:t>
      </w:r>
      <w:r w:rsidR="00B87D10" w:rsidRPr="00B87D10">
        <w:t>̀</w:t>
      </w:r>
      <w:r w:rsidR="00B87D10">
        <w:rPr>
          <w:lang w:val="el-GR"/>
        </w:rPr>
        <w:t>ρ</w:t>
      </w:r>
      <w:r w:rsidR="00B87D10" w:rsidRPr="00B87D10">
        <w:t xml:space="preserve"> </w:t>
      </w:r>
      <w:r w:rsidR="00B87D10">
        <w:rPr>
          <w:lang w:val="el-GR"/>
        </w:rPr>
        <w:t>αυ</w:t>
      </w:r>
      <w:r w:rsidR="00B87D10" w:rsidRPr="00B87D10">
        <w:t>̓</w:t>
      </w:r>
      <w:r w:rsidR="00B87D10">
        <w:rPr>
          <w:lang w:val="el-GR"/>
        </w:rPr>
        <w:t>τη</w:t>
      </w:r>
      <w:r w:rsidR="00B87D10" w:rsidRPr="00B87D10">
        <w:t>͂</w:t>
      </w:r>
      <w:r w:rsidR="00B87D10">
        <w:rPr>
          <w:lang w:val="el-GR"/>
        </w:rPr>
        <w:t>ς</w:t>
      </w:r>
      <w:r w:rsidR="00B87D10">
        <w:t xml:space="preserve"> as “her radiance</w:t>
      </w:r>
      <w:r w:rsidR="006F71D6">
        <w:t>,</w:t>
      </w:r>
      <w:r w:rsidR="00B87D10">
        <w:t xml:space="preserve">” since “radiance” is listed among the </w:t>
      </w:r>
      <w:proofErr w:type="spellStart"/>
      <w:r w:rsidR="00B87D10">
        <w:t>word’s</w:t>
      </w:r>
      <w:proofErr w:type="spellEnd"/>
      <w:r w:rsidR="00B87D10">
        <w:t xml:space="preserve"> meanings</w:t>
      </w:r>
      <w:r w:rsidR="00BD0903">
        <w:t>, with Rev. 21:11 cited as an example</w:t>
      </w:r>
      <w:r w:rsidR="00B87D10">
        <w:t xml:space="preserve">. </w:t>
      </w:r>
      <w:r w:rsidR="005A17DE">
        <w:t>But what if the central</w:t>
      </w:r>
      <w:r w:rsidR="00C64FDA">
        <w:t xml:space="preserve"> reason why</w:t>
      </w:r>
      <w:r w:rsidR="005A17DE">
        <w:t xml:space="preserve"> most major</w:t>
      </w:r>
      <w:r w:rsidR="00C64FDA">
        <w:t xml:space="preserve"> </w:t>
      </w:r>
      <w:r w:rsidR="005A17DE">
        <w:t xml:space="preserve">lexicons and similar </w:t>
      </w:r>
      <w:r w:rsidR="00C64FDA">
        <w:t>authorities</w:t>
      </w:r>
      <w:r w:rsidR="005A17DE">
        <w:rPr>
          <w:rStyle w:val="FootnoteReference"/>
        </w:rPr>
        <w:footnoteReference w:id="12"/>
      </w:r>
      <w:r w:rsidR="00C64FDA">
        <w:t xml:space="preserve"> </w:t>
      </w:r>
      <w:r w:rsidR="002877DC">
        <w:t>offer words like</w:t>
      </w:r>
      <w:r w:rsidR="005A17DE">
        <w:t xml:space="preserve"> “brightness,” “shining,” “radiance” at the end of their entries for </w:t>
      </w:r>
      <w:r w:rsidR="005A17DE">
        <w:rPr>
          <w:lang w:val="el-GR"/>
        </w:rPr>
        <w:t>φωστη</w:t>
      </w:r>
      <w:r w:rsidR="005A17DE" w:rsidRPr="005A17DE">
        <w:t>́</w:t>
      </w:r>
      <w:r w:rsidR="005A17DE">
        <w:rPr>
          <w:lang w:val="el-GR"/>
        </w:rPr>
        <w:t>ρ</w:t>
      </w:r>
      <w:r w:rsidR="005A17DE">
        <w:t xml:space="preserve"> is the fact that they are following an incorrect church reading tradition that goes all the way back to the Vulgate? </w:t>
      </w:r>
    </w:p>
    <w:p w14:paraId="5CF42031" w14:textId="77777777" w:rsidR="00475132" w:rsidRDefault="00475132" w:rsidP="00475132">
      <w:pPr>
        <w:rPr>
          <w:rFonts w:ascii="Times New Roman" w:hAnsi="Times New Roman" w:cs="Times New Roman"/>
          <w:sz w:val="24"/>
          <w:szCs w:val="24"/>
        </w:rPr>
      </w:pPr>
      <w:r w:rsidRPr="00475132">
        <w:rPr>
          <w:rFonts w:ascii="Times New Roman" w:hAnsi="Times New Roman" w:cs="Times New Roman"/>
          <w:sz w:val="24"/>
          <w:szCs w:val="24"/>
        </w:rPr>
        <w:t xml:space="preserve">The Old Latin translates </w:t>
      </w:r>
      <w:proofErr w:type="spellStart"/>
      <w:r w:rsidRPr="00475132">
        <w:rPr>
          <w:rFonts w:ascii="Times New Roman" w:hAnsi="Times New Roman" w:cs="Times New Roman"/>
          <w:sz w:val="24"/>
          <w:szCs w:val="24"/>
        </w:rPr>
        <w:t>φωστήρ</w:t>
      </w:r>
      <w:proofErr w:type="spellEnd"/>
      <w:r w:rsidRPr="00475132">
        <w:rPr>
          <w:rFonts w:ascii="Times New Roman" w:hAnsi="Times New Roman" w:cs="Times New Roman"/>
          <w:sz w:val="24"/>
          <w:szCs w:val="24"/>
        </w:rPr>
        <w:t xml:space="preserve"> in the normal sense</w:t>
      </w:r>
      <w:r>
        <w:rPr>
          <w:rFonts w:ascii="Times New Roman" w:hAnsi="Times New Roman" w:cs="Times New Roman"/>
          <w:sz w:val="24"/>
          <w:szCs w:val="24"/>
        </w:rPr>
        <w:t>:</w:t>
      </w:r>
    </w:p>
    <w:p w14:paraId="02873164" w14:textId="3FBBC6C1" w:rsidR="00475132" w:rsidRDefault="003A6643" w:rsidP="003A6643">
      <w:pPr>
        <w:pStyle w:val="indent"/>
      </w:pPr>
      <w:r w:rsidRPr="002F0CCE">
        <w:rPr>
          <w:vertAlign w:val="subscript"/>
        </w:rPr>
        <w:t>11</w:t>
      </w:r>
      <w:r>
        <w:t xml:space="preserve"> </w:t>
      </w:r>
      <w:r w:rsidR="00475132" w:rsidRPr="003A6643">
        <w:rPr>
          <w:lang w:val="la-Latn"/>
        </w:rPr>
        <w:t>habentem lumen claritatis Dei: &amp; quod illuminat eam, simile est pretiosissimo lapidi quasi lapidi jaspidis, refulgenti in modum crystalli</w:t>
      </w:r>
      <w:r w:rsidR="00475132" w:rsidRPr="00475132">
        <w:t>, “…that which illuminates it is like…”</w:t>
      </w:r>
      <w:r w:rsidR="00475132" w:rsidRPr="00475132">
        <w:rPr>
          <w:rStyle w:val="FootnoteReference"/>
        </w:rPr>
        <w:footnoteReference w:id="13"/>
      </w:r>
    </w:p>
    <w:p w14:paraId="16E202F2" w14:textId="5A81568E" w:rsidR="003A6643" w:rsidRDefault="003A6643" w:rsidP="00475132">
      <w:pPr>
        <w:rPr>
          <w:rFonts w:ascii="Times New Roman" w:hAnsi="Times New Roman" w:cs="Times New Roman"/>
          <w:sz w:val="24"/>
          <w:szCs w:val="24"/>
        </w:rPr>
      </w:pPr>
      <w:r>
        <w:rPr>
          <w:rFonts w:ascii="Times New Roman" w:hAnsi="Times New Roman" w:cs="Times New Roman"/>
          <w:sz w:val="24"/>
          <w:szCs w:val="24"/>
        </w:rPr>
        <w:t xml:space="preserve">Jerome, however, goes a different way, translating </w:t>
      </w:r>
      <w:r>
        <w:rPr>
          <w:rFonts w:ascii="Times New Roman" w:hAnsi="Times New Roman" w:cs="Times New Roman"/>
          <w:sz w:val="24"/>
          <w:szCs w:val="24"/>
          <w:lang w:val="el-GR"/>
        </w:rPr>
        <w:t>φωστη</w:t>
      </w:r>
      <w:r w:rsidRPr="003A6643">
        <w:rPr>
          <w:rFonts w:ascii="Times New Roman" w:hAnsi="Times New Roman" w:cs="Times New Roman"/>
          <w:sz w:val="24"/>
          <w:szCs w:val="24"/>
        </w:rPr>
        <w:t>́</w:t>
      </w:r>
      <w:r>
        <w:rPr>
          <w:rFonts w:ascii="Times New Roman" w:hAnsi="Times New Roman" w:cs="Times New Roman"/>
          <w:sz w:val="24"/>
          <w:szCs w:val="24"/>
          <w:lang w:val="el-GR"/>
        </w:rPr>
        <w:t>ρ</w:t>
      </w:r>
      <w:r>
        <w:rPr>
          <w:rFonts w:ascii="Times New Roman" w:hAnsi="Times New Roman" w:cs="Times New Roman"/>
          <w:sz w:val="24"/>
          <w:szCs w:val="24"/>
        </w:rPr>
        <w:t xml:space="preserve"> in a way that appears to be unparalleled in ancient Greek literature and non-literary sources:</w:t>
      </w:r>
    </w:p>
    <w:p w14:paraId="414ABE0A" w14:textId="70870D71" w:rsidR="003A6643" w:rsidRPr="003A6643" w:rsidRDefault="003A6643" w:rsidP="003A6643">
      <w:pPr>
        <w:pStyle w:val="indent"/>
        <w:rPr>
          <w:szCs w:val="24"/>
        </w:rPr>
      </w:pPr>
      <w:r w:rsidRPr="002F0CCE">
        <w:rPr>
          <w:vertAlign w:val="subscript"/>
        </w:rPr>
        <w:t>11</w:t>
      </w:r>
      <w:r>
        <w:t xml:space="preserve"> </w:t>
      </w:r>
      <w:r w:rsidRPr="003A6643">
        <w:rPr>
          <w:lang w:val="la-Latn"/>
        </w:rPr>
        <w:t>Habitem claritatem Dei: lumen ejus simile</w:t>
      </w:r>
      <w:r w:rsidRPr="007A7CA4">
        <w:t>…</w:t>
      </w:r>
      <w:r>
        <w:rPr>
          <w:rStyle w:val="FootnoteReference"/>
        </w:rPr>
        <w:footnoteReference w:id="14"/>
      </w:r>
      <w:r>
        <w:t xml:space="preserve"> “…</w:t>
      </w:r>
      <w:r w:rsidRPr="004A5F4B">
        <w:t>its light was like</w:t>
      </w:r>
      <w:r>
        <w:t>…</w:t>
      </w:r>
      <w:r w:rsidRPr="004A5F4B">
        <w:t>"</w:t>
      </w:r>
    </w:p>
    <w:p w14:paraId="6F893FE5" w14:textId="2CCFF4FA" w:rsidR="00C31FFD" w:rsidRDefault="001B4B36" w:rsidP="00B87D10">
      <w:pPr>
        <w:pStyle w:val="MainText"/>
      </w:pPr>
      <w:r>
        <w:t xml:space="preserve">The </w:t>
      </w:r>
      <w:r w:rsidR="00475132">
        <w:t xml:space="preserve">first </w:t>
      </w:r>
      <w:r>
        <w:t>translation</w:t>
      </w:r>
      <w:r w:rsidR="00475132">
        <w:t xml:space="preserve"> of the whole NT into English, by</w:t>
      </w:r>
      <w:r>
        <w:t xml:space="preserve"> </w:t>
      </w:r>
      <w:r w:rsidRPr="001B4B36">
        <w:t xml:space="preserve">John </w:t>
      </w:r>
      <w:r w:rsidR="00C31FFD" w:rsidRPr="001B4B36">
        <w:t>Wycl</w:t>
      </w:r>
      <w:r w:rsidRPr="001B4B36">
        <w:t>i</w:t>
      </w:r>
      <w:r w:rsidR="00C31FFD" w:rsidRPr="001B4B36">
        <w:t>ffe (</w:t>
      </w:r>
      <w:r w:rsidRPr="001B4B36">
        <w:t xml:space="preserve">c. 1385 CE), </w:t>
      </w:r>
      <w:r w:rsidR="00475132">
        <w:t xml:space="preserve">was from the </w:t>
      </w:r>
      <w:r w:rsidR="003A6643">
        <w:t xml:space="preserve">Latin of the </w:t>
      </w:r>
      <w:r w:rsidR="00475132">
        <w:t xml:space="preserve">Vulgate. </w:t>
      </w:r>
      <w:r w:rsidR="003A6643">
        <w:t xml:space="preserve">Although </w:t>
      </w:r>
      <w:r w:rsidRPr="001B4B36">
        <w:t xml:space="preserve">William </w:t>
      </w:r>
      <w:r w:rsidR="00C31FFD" w:rsidRPr="001B4B36">
        <w:t>Tyndale</w:t>
      </w:r>
      <w:r w:rsidRPr="001B4B36">
        <w:t xml:space="preserve"> (1526 CE)</w:t>
      </w:r>
      <w:r w:rsidR="003A6643">
        <w:t xml:space="preserve"> </w:t>
      </w:r>
      <w:r>
        <w:t xml:space="preserve">and Miles </w:t>
      </w:r>
      <w:r w:rsidR="00C31FFD" w:rsidRPr="001B4B36">
        <w:t>Coverdale</w:t>
      </w:r>
      <w:r w:rsidRPr="001B4B36">
        <w:t xml:space="preserve"> (c. 1535 CE)</w:t>
      </w:r>
      <w:r w:rsidR="003A6643">
        <w:t xml:space="preserve"> had access to Greek manuscripts of the NT, the Bible they knew was the Vulgate, and it must have been only natural for them to take Jerome’s word that </w:t>
      </w:r>
      <w:r w:rsidR="003A6643">
        <w:rPr>
          <w:lang w:val="el-GR"/>
        </w:rPr>
        <w:t>φωστη</w:t>
      </w:r>
      <w:r w:rsidR="003A6643" w:rsidRPr="003A6643">
        <w:t>́</w:t>
      </w:r>
      <w:r w:rsidR="003A6643">
        <w:rPr>
          <w:lang w:val="el-GR"/>
        </w:rPr>
        <w:t>ρ</w:t>
      </w:r>
      <w:r w:rsidR="003A6643">
        <w:t xml:space="preserve"> could mean “luminosity” as well as “luminary</w:t>
      </w:r>
      <w:r w:rsidR="006F71D6">
        <w:t>.</w:t>
      </w:r>
      <w:r w:rsidR="003A6643">
        <w:t>” And of course t</w:t>
      </w:r>
      <w:r>
        <w:t xml:space="preserve">he translators of the </w:t>
      </w:r>
      <w:r>
        <w:lastRenderedPageBreak/>
        <w:t>Authorized Version</w:t>
      </w:r>
      <w:r w:rsidR="003A6643">
        <w:t xml:space="preserve"> were urged to hew as closely as possible to the English Bible translation tradition already established.</w:t>
      </w:r>
      <w:r w:rsidR="000D4967">
        <w:t xml:space="preserve"> So we have:</w:t>
      </w:r>
    </w:p>
    <w:p w14:paraId="08D293F9" w14:textId="6070022B" w:rsidR="000D4967" w:rsidRDefault="000D4967" w:rsidP="006F71D6">
      <w:pPr>
        <w:pStyle w:val="indent"/>
      </w:pPr>
      <w:r>
        <w:t xml:space="preserve">Wycliffe, 1382: </w:t>
      </w:r>
      <w:proofErr w:type="spellStart"/>
      <w:r>
        <w:t>hauynge</w:t>
      </w:r>
      <w:proofErr w:type="spellEnd"/>
      <w:r>
        <w:t xml:space="preserve"> the </w:t>
      </w:r>
      <w:proofErr w:type="spellStart"/>
      <w:r>
        <w:t>clerete</w:t>
      </w:r>
      <w:proofErr w:type="spellEnd"/>
      <w:r>
        <w:t xml:space="preserve"> of God; and the </w:t>
      </w:r>
      <w:proofErr w:type="spellStart"/>
      <w:r>
        <w:t>liyt</w:t>
      </w:r>
      <w:proofErr w:type="spellEnd"/>
      <w:r>
        <w:t xml:space="preserve"> of it </w:t>
      </w:r>
      <w:proofErr w:type="spellStart"/>
      <w:r>
        <w:t>lijk</w:t>
      </w:r>
      <w:proofErr w:type="spellEnd"/>
      <w:r>
        <w:t xml:space="preserve"> a </w:t>
      </w:r>
      <w:proofErr w:type="spellStart"/>
      <w:r>
        <w:t>preciouse</w:t>
      </w:r>
      <w:proofErr w:type="spellEnd"/>
      <w:r>
        <w:t xml:space="preserve"> stoon, as the stoon </w:t>
      </w:r>
      <w:proofErr w:type="spellStart"/>
      <w:r>
        <w:t>iaspis</w:t>
      </w:r>
      <w:proofErr w:type="spellEnd"/>
      <w:r>
        <w:t xml:space="preserve">, as </w:t>
      </w:r>
      <w:proofErr w:type="spellStart"/>
      <w:r>
        <w:t>cristal</w:t>
      </w:r>
      <w:proofErr w:type="spellEnd"/>
      <w:r>
        <w:t xml:space="preserve"> </w:t>
      </w:r>
    </w:p>
    <w:p w14:paraId="11837CEB" w14:textId="128C1876" w:rsidR="000D4967" w:rsidRDefault="000D4967" w:rsidP="006F71D6">
      <w:pPr>
        <w:pStyle w:val="indent"/>
      </w:pPr>
      <w:r>
        <w:t xml:space="preserve">Matthew Bible, 1537, based on Tyndale, 1534, for the NT: </w:t>
      </w:r>
      <w:proofErr w:type="spellStart"/>
      <w:r>
        <w:t>hauyng</w:t>
      </w:r>
      <w:proofErr w:type="spellEnd"/>
      <w:r>
        <w:t xml:space="preserve"> the </w:t>
      </w:r>
      <w:proofErr w:type="spellStart"/>
      <w:r>
        <w:t>bryghtnes</w:t>
      </w:r>
      <w:proofErr w:type="spellEnd"/>
      <w:r>
        <w:t xml:space="preserve"> of </w:t>
      </w:r>
      <w:r w:rsidR="00086E1B">
        <w:t>G</w:t>
      </w:r>
      <w:r>
        <w:t xml:space="preserve">od And her </w:t>
      </w:r>
      <w:proofErr w:type="spellStart"/>
      <w:r>
        <w:t>shinyng</w:t>
      </w:r>
      <w:proofErr w:type="spellEnd"/>
      <w:r>
        <w:t xml:space="preserve"> was </w:t>
      </w:r>
      <w:proofErr w:type="spellStart"/>
      <w:r>
        <w:t>lyke</w:t>
      </w:r>
      <w:proofErr w:type="spellEnd"/>
      <w:r>
        <w:t xml:space="preserve"> </w:t>
      </w:r>
      <w:proofErr w:type="spellStart"/>
      <w:r>
        <w:t>vnto</w:t>
      </w:r>
      <w:proofErr w:type="spellEnd"/>
      <w:r>
        <w:t xml:space="preserve"> a stone most </w:t>
      </w:r>
      <w:proofErr w:type="spellStart"/>
      <w:r>
        <w:t>precyous</w:t>
      </w:r>
      <w:proofErr w:type="spellEnd"/>
      <w:r>
        <w:t xml:space="preserve">, </w:t>
      </w:r>
      <w:proofErr w:type="spellStart"/>
      <w:r>
        <w:t>euen</w:t>
      </w:r>
      <w:proofErr w:type="spellEnd"/>
      <w:r>
        <w:t xml:space="preserve"> a </w:t>
      </w:r>
      <w:proofErr w:type="spellStart"/>
      <w:r>
        <w:t>Iasper</w:t>
      </w:r>
      <w:proofErr w:type="spellEnd"/>
      <w:r>
        <w:t xml:space="preserve"> </w:t>
      </w:r>
      <w:proofErr w:type="spellStart"/>
      <w:r>
        <w:t>cleare</w:t>
      </w:r>
      <w:proofErr w:type="spellEnd"/>
      <w:r>
        <w:t xml:space="preserve"> as Chrystal</w:t>
      </w:r>
    </w:p>
    <w:p w14:paraId="714A3B48" w14:textId="77777777" w:rsidR="000D4967" w:rsidRDefault="000D4967" w:rsidP="006F71D6">
      <w:pPr>
        <w:pStyle w:val="indent"/>
      </w:pPr>
      <w:r>
        <w:t xml:space="preserve">Coverdale, 1535: 11 </w:t>
      </w:r>
      <w:proofErr w:type="spellStart"/>
      <w:r>
        <w:t>hauynge</w:t>
      </w:r>
      <w:proofErr w:type="spellEnd"/>
      <w:r>
        <w:t xml:space="preserve"> the </w:t>
      </w:r>
      <w:proofErr w:type="spellStart"/>
      <w:r>
        <w:t>brightnes</w:t>
      </w:r>
      <w:proofErr w:type="spellEnd"/>
      <w:r>
        <w:t xml:space="preserve"> of God. And her </w:t>
      </w:r>
      <w:proofErr w:type="spellStart"/>
      <w:r>
        <w:t>shynynge</w:t>
      </w:r>
      <w:proofErr w:type="spellEnd"/>
      <w:r>
        <w:t xml:space="preserve"> was </w:t>
      </w:r>
      <w:proofErr w:type="spellStart"/>
      <w:r>
        <w:t>lyke</w:t>
      </w:r>
      <w:proofErr w:type="spellEnd"/>
      <w:r>
        <w:t xml:space="preserve"> </w:t>
      </w:r>
      <w:proofErr w:type="spellStart"/>
      <w:r>
        <w:t>vnto</w:t>
      </w:r>
      <w:proofErr w:type="spellEnd"/>
      <w:r>
        <w:t xml:space="preserve"> a stone most precious, </w:t>
      </w:r>
      <w:proofErr w:type="spellStart"/>
      <w:r>
        <w:t>euen</w:t>
      </w:r>
      <w:proofErr w:type="spellEnd"/>
      <w:r>
        <w:t xml:space="preserve"> a </w:t>
      </w:r>
      <w:proofErr w:type="spellStart"/>
      <w:r>
        <w:t>Iaspar</w:t>
      </w:r>
      <w:proofErr w:type="spellEnd"/>
      <w:r>
        <w:t xml:space="preserve"> </w:t>
      </w:r>
      <w:proofErr w:type="spellStart"/>
      <w:r>
        <w:t>cleare</w:t>
      </w:r>
      <w:proofErr w:type="spellEnd"/>
      <w:r>
        <w:t xml:space="preserve"> as </w:t>
      </w:r>
      <w:proofErr w:type="spellStart"/>
      <w:r>
        <w:t>cristall</w:t>
      </w:r>
      <w:proofErr w:type="spellEnd"/>
    </w:p>
    <w:p w14:paraId="47D13B02" w14:textId="3F29CAD9" w:rsidR="000D4967" w:rsidRDefault="000D4967" w:rsidP="006F71D6">
      <w:pPr>
        <w:pStyle w:val="indent"/>
      </w:pPr>
      <w:r>
        <w:t>Geneva Bible, 1568: 11 Having the glory of God, and her shining was like unto a stone most precious, as a jasper stone clear as crystal</w:t>
      </w:r>
      <w:r>
        <w:tab/>
      </w:r>
    </w:p>
    <w:p w14:paraId="40D18D53" w14:textId="5738F55D" w:rsidR="000D4967" w:rsidRDefault="000D4967" w:rsidP="006F71D6">
      <w:pPr>
        <w:pStyle w:val="indent"/>
      </w:pPr>
      <w:r>
        <w:t xml:space="preserve">Bishops’ Bible, 1568: </w:t>
      </w:r>
      <w:proofErr w:type="spellStart"/>
      <w:r>
        <w:t>Hauing</w:t>
      </w:r>
      <w:proofErr w:type="spellEnd"/>
      <w:r>
        <w:t xml:space="preserve"> the </w:t>
      </w:r>
      <w:proofErr w:type="spellStart"/>
      <w:r>
        <w:t>glorie</w:t>
      </w:r>
      <w:proofErr w:type="spellEnd"/>
      <w:r>
        <w:t xml:space="preserve"> of God: and her shining was </w:t>
      </w:r>
      <w:proofErr w:type="spellStart"/>
      <w:r>
        <w:t>lyke</w:t>
      </w:r>
      <w:proofErr w:type="spellEnd"/>
      <w:r>
        <w:t xml:space="preserve"> </w:t>
      </w:r>
      <w:proofErr w:type="spellStart"/>
      <w:r>
        <w:t>vnto</w:t>
      </w:r>
      <w:proofErr w:type="spellEnd"/>
      <w:r>
        <w:t xml:space="preserve"> a stone most precious, </w:t>
      </w:r>
      <w:proofErr w:type="spellStart"/>
      <w:r>
        <w:t>euen</w:t>
      </w:r>
      <w:proofErr w:type="spellEnd"/>
      <w:r>
        <w:t xml:space="preserve"> </w:t>
      </w:r>
      <w:proofErr w:type="spellStart"/>
      <w:r>
        <w:t>lyke</w:t>
      </w:r>
      <w:proofErr w:type="spellEnd"/>
      <w:r>
        <w:t xml:space="preserve"> a </w:t>
      </w:r>
      <w:proofErr w:type="spellStart"/>
      <w:r>
        <w:t>Iasper</w:t>
      </w:r>
      <w:proofErr w:type="spellEnd"/>
      <w:r>
        <w:t xml:space="preserve">, </w:t>
      </w:r>
      <w:proofErr w:type="spellStart"/>
      <w:r>
        <w:t>cleare</w:t>
      </w:r>
      <w:proofErr w:type="spellEnd"/>
      <w:r>
        <w:t xml:space="preserve"> as Cristall</w:t>
      </w:r>
    </w:p>
    <w:p w14:paraId="744C5176" w14:textId="42277B93" w:rsidR="000D4967" w:rsidRPr="001B4B36" w:rsidRDefault="000D4967" w:rsidP="006F71D6">
      <w:pPr>
        <w:pStyle w:val="indent"/>
      </w:pPr>
      <w:r>
        <w:t xml:space="preserve">King James Bible (Authorized Version), 1611: </w:t>
      </w:r>
      <w:proofErr w:type="spellStart"/>
      <w:r>
        <w:t>Hauing</w:t>
      </w:r>
      <w:proofErr w:type="spellEnd"/>
      <w:r>
        <w:t xml:space="preserve"> the glory of God: and her light was like </w:t>
      </w:r>
      <w:proofErr w:type="spellStart"/>
      <w:r>
        <w:t>vnto</w:t>
      </w:r>
      <w:proofErr w:type="spellEnd"/>
      <w:r>
        <w:t xml:space="preserve"> a stone most precious; </w:t>
      </w:r>
      <w:proofErr w:type="spellStart"/>
      <w:r>
        <w:t>euen</w:t>
      </w:r>
      <w:proofErr w:type="spellEnd"/>
      <w:r>
        <w:t xml:space="preserve"> like </w:t>
      </w:r>
      <w:proofErr w:type="gramStart"/>
      <w:r>
        <w:t>a</w:t>
      </w:r>
      <w:proofErr w:type="gramEnd"/>
      <w:r>
        <w:t xml:space="preserve"> </w:t>
      </w:r>
      <w:proofErr w:type="spellStart"/>
      <w:r>
        <w:t>iasper</w:t>
      </w:r>
      <w:proofErr w:type="spellEnd"/>
      <w:r>
        <w:t xml:space="preserve"> stone, </w:t>
      </w:r>
      <w:proofErr w:type="spellStart"/>
      <w:r>
        <w:t>cleare</w:t>
      </w:r>
      <w:proofErr w:type="spellEnd"/>
      <w:r>
        <w:t xml:space="preserve"> as </w:t>
      </w:r>
      <w:proofErr w:type="spellStart"/>
      <w:r>
        <w:t>christal</w:t>
      </w:r>
      <w:proofErr w:type="spellEnd"/>
    </w:p>
    <w:p w14:paraId="736DFFF8" w14:textId="0169038F" w:rsidR="00C91FFA" w:rsidRDefault="00273150" w:rsidP="00B87D10">
      <w:pPr>
        <w:pStyle w:val="MainText"/>
      </w:pPr>
      <w:r>
        <w:rPr>
          <w:highlight w:val="yellow"/>
        </w:rPr>
        <w:t>Perhaps the central means by which l</w:t>
      </w:r>
      <w:r w:rsidR="002877DC" w:rsidRPr="009A131A">
        <w:rPr>
          <w:highlight w:val="yellow"/>
        </w:rPr>
        <w:t xml:space="preserve">exicographers decide what meanings to include for their words </w:t>
      </w:r>
      <w:r>
        <w:rPr>
          <w:highlight w:val="yellow"/>
        </w:rPr>
        <w:t xml:space="preserve">is </w:t>
      </w:r>
      <w:r w:rsidR="002877DC" w:rsidRPr="009A131A">
        <w:rPr>
          <w:highlight w:val="yellow"/>
        </w:rPr>
        <w:t>by reading them in as many texts as they can, and by determining, contextually, what they are most likely to mean</w:t>
      </w:r>
      <w:r w:rsidR="00086E1B" w:rsidRPr="009A131A">
        <w:rPr>
          <w:highlight w:val="yellow"/>
        </w:rPr>
        <w:t>—</w:t>
      </w:r>
      <w:r w:rsidR="0074777B" w:rsidRPr="009A131A">
        <w:rPr>
          <w:highlight w:val="yellow"/>
        </w:rPr>
        <w:t>and what they are excluded from meaning</w:t>
      </w:r>
      <w:r w:rsidR="00086E1B" w:rsidRPr="009A131A">
        <w:rPr>
          <w:highlight w:val="yellow"/>
        </w:rPr>
        <w:t>—</w:t>
      </w:r>
      <w:r w:rsidR="002877DC" w:rsidRPr="009A131A">
        <w:rPr>
          <w:highlight w:val="yellow"/>
        </w:rPr>
        <w:t>in each case.</w:t>
      </w:r>
      <w:r w:rsidR="002F0CCE">
        <w:rPr>
          <w:rStyle w:val="FootnoteReference"/>
          <w:highlight w:val="yellow"/>
        </w:rPr>
        <w:footnoteReference w:id="15"/>
      </w:r>
      <w:r w:rsidR="002877DC" w:rsidRPr="009A131A">
        <w:rPr>
          <w:highlight w:val="yellow"/>
        </w:rPr>
        <w:t xml:space="preserve"> </w:t>
      </w:r>
      <w:r>
        <w:t>This</w:t>
      </w:r>
      <w:r w:rsidR="002877DC">
        <w:t xml:space="preserve"> is how everyone learns what words mean. But if it can be shown that proper exegesis of Rev. 21:11 favors the meaning “luminary,” then there is no reason </w:t>
      </w:r>
      <w:r w:rsidR="0074777B">
        <w:t>based in</w:t>
      </w:r>
      <w:r w:rsidR="002877DC">
        <w:t xml:space="preserve"> that text </w:t>
      </w:r>
      <w:r w:rsidR="0074777B">
        <w:t xml:space="preserve">itself </w:t>
      </w:r>
      <w:r w:rsidR="002877DC">
        <w:t>for dictionaries to include any other proposed meaning</w:t>
      </w:r>
      <w:r w:rsidR="0074777B">
        <w:t>.</w:t>
      </w:r>
      <w:r w:rsidR="002877DC">
        <w:t xml:space="preserve"> We will get into that below. For the present, I need only demonstrate</w:t>
      </w:r>
      <w:r w:rsidR="0074777B">
        <w:t>, in the case of</w:t>
      </w:r>
      <w:r w:rsidR="002877DC">
        <w:t xml:space="preserve"> </w:t>
      </w:r>
      <w:r w:rsidR="002877DC">
        <w:rPr>
          <w:i/>
          <w:iCs/>
        </w:rPr>
        <w:t>every single other ancient text</w:t>
      </w:r>
      <w:r w:rsidR="002877DC">
        <w:t xml:space="preserve"> that </w:t>
      </w:r>
      <w:r w:rsidR="008A75D3">
        <w:t>has been</w:t>
      </w:r>
      <w:r w:rsidR="002877DC">
        <w:t xml:space="preserve"> </w:t>
      </w:r>
      <w:r w:rsidR="0074777B">
        <w:t xml:space="preserve">put forward </w:t>
      </w:r>
      <w:r w:rsidR="006F71D6">
        <w:t xml:space="preserve">by </w:t>
      </w:r>
      <w:r w:rsidR="00062CA7">
        <w:t>any recognized</w:t>
      </w:r>
      <w:r w:rsidR="006F71D6">
        <w:t xml:space="preserve"> lexicon </w:t>
      </w:r>
      <w:r w:rsidR="0074777B">
        <w:t xml:space="preserve">as an example of </w:t>
      </w:r>
      <w:r w:rsidR="0074777B">
        <w:rPr>
          <w:lang w:val="el-GR"/>
        </w:rPr>
        <w:t>φωστη</w:t>
      </w:r>
      <w:r w:rsidR="0074777B" w:rsidRPr="0074777B">
        <w:t>́</w:t>
      </w:r>
      <w:r w:rsidR="0074777B">
        <w:rPr>
          <w:lang w:val="el-GR"/>
        </w:rPr>
        <w:t>ρ</w:t>
      </w:r>
      <w:r w:rsidR="0074777B">
        <w:t xml:space="preserve"> having the sense “radiance,” or the light that comes from or is reflected from something, </w:t>
      </w:r>
      <w:r w:rsidR="003D4BDE">
        <w:t xml:space="preserve">that </w:t>
      </w:r>
      <w:r w:rsidR="003D4BDE" w:rsidRPr="003D4BDE">
        <w:t>th</w:t>
      </w:r>
      <w:r w:rsidR="003D4BDE">
        <w:t xml:space="preserve">e passage </w:t>
      </w:r>
      <w:r w:rsidR="0074777B">
        <w:t xml:space="preserve">makes perfectly good sense with </w:t>
      </w:r>
      <w:r w:rsidR="003D4BDE">
        <w:rPr>
          <w:lang w:val="el-GR"/>
        </w:rPr>
        <w:t>φωστη</w:t>
      </w:r>
      <w:r w:rsidR="003D4BDE" w:rsidRPr="003D4BDE">
        <w:t>́</w:t>
      </w:r>
      <w:r w:rsidR="003D4BDE">
        <w:rPr>
          <w:lang w:val="el-GR"/>
        </w:rPr>
        <w:t>ρ</w:t>
      </w:r>
      <w:r w:rsidR="003D4BDE">
        <w:t xml:space="preserve"> meaning</w:t>
      </w:r>
      <w:r w:rsidR="0074777B">
        <w:t xml:space="preserve"> “luminary” or light source, and </w:t>
      </w:r>
      <w:r w:rsidR="003D4BDE">
        <w:t>poor or no sense</w:t>
      </w:r>
      <w:r w:rsidR="0074777B">
        <w:t xml:space="preserve"> with </w:t>
      </w:r>
      <w:r w:rsidR="003D4BDE">
        <w:rPr>
          <w:lang w:val="el-GR"/>
        </w:rPr>
        <w:t>φωστη</w:t>
      </w:r>
      <w:r w:rsidR="003D4BDE" w:rsidRPr="003D4BDE">
        <w:t>́</w:t>
      </w:r>
      <w:r w:rsidR="003D4BDE">
        <w:rPr>
          <w:lang w:val="el-GR"/>
        </w:rPr>
        <w:t>ρ</w:t>
      </w:r>
      <w:r w:rsidR="003D4BDE">
        <w:t xml:space="preserve"> meaning </w:t>
      </w:r>
      <w:r w:rsidR="0074777B">
        <w:t>“radiance.”</w:t>
      </w:r>
      <w:r w:rsidR="003D4BDE">
        <w:t xml:space="preserve"> This </w:t>
      </w:r>
      <w:r w:rsidR="006F71D6">
        <w:t>is not</w:t>
      </w:r>
      <w:r w:rsidR="003D4BDE">
        <w:t xml:space="preserve"> going to be as hard as it sounds, since only </w:t>
      </w:r>
      <w:r w:rsidR="006F71D6">
        <w:t>two</w:t>
      </w:r>
      <w:r w:rsidR="003D4BDE">
        <w:t xml:space="preserve"> passages</w:t>
      </w:r>
      <w:r w:rsidR="006F71D6">
        <w:t>—</w:t>
      </w:r>
      <w:r>
        <w:t>apart from</w:t>
      </w:r>
      <w:r w:rsidR="006F71D6">
        <w:t xml:space="preserve"> Rev. 21:11—</w:t>
      </w:r>
      <w:r w:rsidR="003D4BDE">
        <w:t xml:space="preserve">have been put forward. </w:t>
      </w:r>
      <w:r w:rsidR="00AF5C3B">
        <w:t>Here they are:</w:t>
      </w:r>
    </w:p>
    <w:p w14:paraId="1C17C34F" w14:textId="6F861A90" w:rsidR="003D4BDE" w:rsidRDefault="003D4BDE" w:rsidP="003D4BDE">
      <w:pPr>
        <w:pStyle w:val="ScriptureHead"/>
      </w:pPr>
      <w:r>
        <w:t xml:space="preserve">1 Esdras </w:t>
      </w:r>
      <w:r w:rsidRPr="00DC7B03">
        <w:rPr>
          <w:rFonts w:ascii="SBL Greek" w:hAnsi="SBL Greek" w:cstheme="majorBidi"/>
        </w:rPr>
        <w:t>8:7</w:t>
      </w:r>
      <w:r w:rsidR="00893E01">
        <w:rPr>
          <w:rFonts w:ascii="SBL Greek" w:hAnsi="SBL Greek" w:cstheme="majorBidi"/>
        </w:rPr>
        <w:t xml:space="preserve">6 LXX </w:t>
      </w:r>
      <w:r w:rsidR="00893E01" w:rsidRPr="00DC7B03">
        <w:t>(79</w:t>
      </w:r>
      <w:r w:rsidR="00893E01">
        <w:t xml:space="preserve"> </w:t>
      </w:r>
      <w:r w:rsidR="00893E01" w:rsidRPr="00DC7B03">
        <w:t>NRSV)</w:t>
      </w:r>
    </w:p>
    <w:p w14:paraId="17263841" w14:textId="06B60B3D" w:rsidR="003D4BDE" w:rsidRPr="00DC7B03" w:rsidRDefault="003D4BDE" w:rsidP="00893E01">
      <w:pPr>
        <w:pStyle w:val="indent"/>
      </w:pPr>
      <w:r w:rsidRPr="00DC7B03">
        <w:t xml:space="preserve">78 And now in some measure mercy has come to us from you, O Lord, to leave us a root and a name in your holy place, 79 and to uncover </w:t>
      </w:r>
      <w:r w:rsidRPr="00DC7B03">
        <w:rPr>
          <w:b/>
          <w:bCs/>
        </w:rPr>
        <w:t>a light</w:t>
      </w:r>
      <w:r w:rsidRPr="00DC7B03">
        <w:t xml:space="preserve"> for us in the house of the Lord our God (</w:t>
      </w:r>
      <w:r w:rsidRPr="00DC7B03">
        <w:rPr>
          <w:lang w:val="el-GR"/>
        </w:rPr>
        <w:t>α</w:t>
      </w:r>
      <w:r w:rsidRPr="00DC7B03">
        <w:t>̓</w:t>
      </w:r>
      <w:r w:rsidRPr="00DC7B03">
        <w:rPr>
          <w:lang w:val="el-GR"/>
        </w:rPr>
        <w:t>νακαλυ</w:t>
      </w:r>
      <w:r w:rsidRPr="00DC7B03">
        <w:t>́</w:t>
      </w:r>
      <w:r w:rsidRPr="00DC7B03">
        <w:rPr>
          <w:lang w:val="el-GR"/>
        </w:rPr>
        <w:t>ψαι</w:t>
      </w:r>
      <w:r w:rsidRPr="00DC7B03">
        <w:t xml:space="preserve"> </w:t>
      </w:r>
      <w:r w:rsidRPr="00DC7B03">
        <w:rPr>
          <w:b/>
          <w:bCs/>
          <w:lang w:val="el-GR"/>
        </w:rPr>
        <w:t>φωστη</w:t>
      </w:r>
      <w:r w:rsidRPr="00DC7B03">
        <w:rPr>
          <w:b/>
          <w:bCs/>
        </w:rPr>
        <w:t>͂</w:t>
      </w:r>
      <w:r w:rsidRPr="00DC7B03">
        <w:rPr>
          <w:b/>
          <w:bCs/>
          <w:lang w:val="el-GR"/>
        </w:rPr>
        <w:t>ρα</w:t>
      </w:r>
      <w:r w:rsidRPr="00DC7B03">
        <w:t xml:space="preserve"> </w:t>
      </w:r>
      <w:r w:rsidRPr="00DC7B03">
        <w:rPr>
          <w:lang w:val="el-GR"/>
        </w:rPr>
        <w:t>η</w:t>
      </w:r>
      <w:r w:rsidRPr="00DC7B03">
        <w:t>̔</w:t>
      </w:r>
      <w:r w:rsidRPr="00DC7B03">
        <w:rPr>
          <w:lang w:val="el-GR"/>
        </w:rPr>
        <w:t>μω</w:t>
      </w:r>
      <w:r w:rsidRPr="00DC7B03">
        <w:t>͂</w:t>
      </w:r>
      <w:r w:rsidRPr="00DC7B03">
        <w:rPr>
          <w:lang w:val="el-GR"/>
        </w:rPr>
        <w:t>ν</w:t>
      </w:r>
      <w:r w:rsidRPr="00DC7B03">
        <w:t xml:space="preserve"> </w:t>
      </w:r>
      <w:r w:rsidRPr="00DC7B03">
        <w:rPr>
          <w:lang w:val="el-GR"/>
        </w:rPr>
        <w:t>ε</w:t>
      </w:r>
      <w:r w:rsidRPr="00DC7B03">
        <w:t>̓</w:t>
      </w:r>
      <w:r w:rsidRPr="00DC7B03">
        <w:rPr>
          <w:lang w:val="el-GR"/>
        </w:rPr>
        <w:t>ν</w:t>
      </w:r>
      <w:r w:rsidRPr="00DC7B03">
        <w:t xml:space="preserve"> </w:t>
      </w:r>
      <w:r w:rsidRPr="00DC7B03">
        <w:rPr>
          <w:lang w:val="el-GR"/>
        </w:rPr>
        <w:t>τω</w:t>
      </w:r>
      <w:r w:rsidRPr="00DC7B03">
        <w:t xml:space="preserve">͂ͅ </w:t>
      </w:r>
      <w:r w:rsidRPr="00DC7B03">
        <w:rPr>
          <w:lang w:val="el-GR"/>
        </w:rPr>
        <w:t>οι</w:t>
      </w:r>
      <w:r w:rsidRPr="00DC7B03">
        <w:t>̓́</w:t>
      </w:r>
      <w:r w:rsidRPr="00DC7B03">
        <w:rPr>
          <w:lang w:val="el-GR"/>
        </w:rPr>
        <w:t>κω</w:t>
      </w:r>
      <w:r w:rsidRPr="00DC7B03">
        <w:t xml:space="preserve"> </w:t>
      </w:r>
      <w:r w:rsidRPr="00DC7B03">
        <w:rPr>
          <w:lang w:val="el-GR"/>
        </w:rPr>
        <w:t>του</w:t>
      </w:r>
      <w:r w:rsidRPr="00DC7B03">
        <w:t xml:space="preserve">͂ </w:t>
      </w:r>
      <w:r w:rsidRPr="00DC7B03">
        <w:rPr>
          <w:lang w:val="el-GR"/>
        </w:rPr>
        <w:t>θεου</w:t>
      </w:r>
      <w:r w:rsidRPr="00DC7B03">
        <w:t xml:space="preserve">͂ </w:t>
      </w:r>
      <w:r w:rsidRPr="00DC7B03">
        <w:rPr>
          <w:lang w:val="el-GR"/>
        </w:rPr>
        <w:t>η</w:t>
      </w:r>
      <w:r w:rsidRPr="00DC7B03">
        <w:t>̔</w:t>
      </w:r>
      <w:r w:rsidRPr="00DC7B03">
        <w:rPr>
          <w:lang w:val="el-GR"/>
        </w:rPr>
        <w:t>μω</w:t>
      </w:r>
      <w:r w:rsidRPr="00DC7B03">
        <w:t>͂</w:t>
      </w:r>
      <w:r w:rsidRPr="00DC7B03">
        <w:rPr>
          <w:lang w:val="el-GR"/>
        </w:rPr>
        <w:t>ν</w:t>
      </w:r>
      <w:r w:rsidRPr="00DC7B03">
        <w:t xml:space="preserve">), and to give us food in the time of our servitude. </w:t>
      </w:r>
    </w:p>
    <w:p w14:paraId="6AE96720" w14:textId="416EB035" w:rsidR="003D4BDE" w:rsidRDefault="003D4BDE" w:rsidP="00FC5918">
      <w:pPr>
        <w:pStyle w:val="MainText"/>
      </w:pPr>
      <w:r>
        <w:lastRenderedPageBreak/>
        <w:t xml:space="preserve">The context here is that </w:t>
      </w:r>
      <w:r w:rsidR="001B2B7C">
        <w:t xml:space="preserve">Ezra is thanking God for his mercy in returning the people to their land and allowing them to rebuild the Temple. </w:t>
      </w:r>
      <w:r w:rsidR="00893E01">
        <w:t xml:space="preserve">NRSV translators have </w:t>
      </w:r>
      <w:r w:rsidR="00FC5918">
        <w:t xml:space="preserve">correctly </w:t>
      </w:r>
      <w:r w:rsidR="00893E01">
        <w:t xml:space="preserve">understood </w:t>
      </w:r>
      <w:r w:rsidR="00893E01">
        <w:rPr>
          <w:lang w:val="el-GR"/>
        </w:rPr>
        <w:t>φωστη</w:t>
      </w:r>
      <w:r w:rsidR="00893E01" w:rsidRPr="00893E01">
        <w:t>́</w:t>
      </w:r>
      <w:r w:rsidR="00893E01">
        <w:rPr>
          <w:lang w:val="el-GR"/>
        </w:rPr>
        <w:t>ρ</w:t>
      </w:r>
      <w:r w:rsidR="00893E01" w:rsidRPr="00893E01">
        <w:t xml:space="preserve"> </w:t>
      </w:r>
      <w:r w:rsidR="00FC5918">
        <w:t xml:space="preserve">here </w:t>
      </w:r>
      <w:r w:rsidR="00893E01">
        <w:t>as meanin</w:t>
      </w:r>
      <w:r w:rsidR="00FC5918">
        <w:t xml:space="preserve">g a lamp or light source, not “radiance,” which, together with </w:t>
      </w:r>
      <w:r w:rsidR="00FC5918">
        <w:rPr>
          <w:lang w:val="el-GR"/>
        </w:rPr>
        <w:t>η</w:t>
      </w:r>
      <w:r w:rsidR="00FC5918" w:rsidRPr="00FC5918">
        <w:t>̔</w:t>
      </w:r>
      <w:r w:rsidR="00FC5918">
        <w:rPr>
          <w:lang w:val="el-GR"/>
        </w:rPr>
        <w:t>μω</w:t>
      </w:r>
      <w:r w:rsidR="00FC5918" w:rsidRPr="00FC5918">
        <w:t>͂</w:t>
      </w:r>
      <w:r w:rsidR="00FC5918">
        <w:rPr>
          <w:lang w:val="el-GR"/>
        </w:rPr>
        <w:t>ν</w:t>
      </w:r>
      <w:r w:rsidR="00FC5918">
        <w:t>, would mean “our radiance,” which is clearly not what the author intends. “A radiance for us” also makes little sense. The author imagines a divine lamp burning in the temple for the enlightenment of the people, which was hidden when Solomon’s Temple was destroyed, but unveiled again when the Temple was rebuilt.</w:t>
      </w:r>
    </w:p>
    <w:p w14:paraId="70FFA939" w14:textId="5373C7FE" w:rsidR="00FC5918" w:rsidRDefault="009F4ADC" w:rsidP="00FC5918">
      <w:pPr>
        <w:pStyle w:val="ScriptureHead"/>
      </w:pPr>
      <w:r>
        <w:t xml:space="preserve"> An Anonymous Epigram</w:t>
      </w:r>
      <w:r>
        <w:rPr>
          <w:rStyle w:val="FootnoteReference"/>
        </w:rPr>
        <w:footnoteReference w:id="16"/>
      </w:r>
    </w:p>
    <w:p w14:paraId="3A9CDD3D" w14:textId="3AB6BB0F" w:rsidR="00A226BF" w:rsidRDefault="00A226BF" w:rsidP="00FC5918">
      <w:pPr>
        <w:pStyle w:val="ScriptureHead"/>
        <w:rPr>
          <w:b w:val="0"/>
          <w:bCs/>
        </w:rPr>
      </w:pPr>
      <w:r>
        <w:rPr>
          <w:b w:val="0"/>
          <w:bCs/>
        </w:rPr>
        <w:t xml:space="preserve">This source deserves a full quotation because it is cited by </w:t>
      </w:r>
      <w:r w:rsidR="000343CD">
        <w:rPr>
          <w:b w:val="0"/>
          <w:bCs/>
        </w:rPr>
        <w:t>several</w:t>
      </w:r>
      <w:r>
        <w:rPr>
          <w:b w:val="0"/>
          <w:bCs/>
        </w:rPr>
        <w:t xml:space="preserve"> lexicons as an example of </w:t>
      </w:r>
      <w:r w:rsidR="000343CD">
        <w:rPr>
          <w:b w:val="0"/>
          <w:bCs/>
        </w:rPr>
        <w:t>the sense of radiance or the light that comes from someone or something.</w:t>
      </w:r>
      <w:r w:rsidR="002464EA">
        <w:rPr>
          <w:rStyle w:val="FootnoteReference"/>
          <w:b w:val="0"/>
          <w:bCs/>
        </w:rPr>
        <w:footnoteReference w:id="17"/>
      </w:r>
    </w:p>
    <w:p w14:paraId="15F1E8F3" w14:textId="77777777" w:rsidR="002464EA" w:rsidRPr="002464EA" w:rsidRDefault="002464EA" w:rsidP="002464EA">
      <w:pPr>
        <w:pStyle w:val="indentpoetry"/>
        <w:rPr>
          <w:lang w:val="el-GR"/>
        </w:rPr>
      </w:pPr>
      <w:r w:rsidRPr="002464EA">
        <w:rPr>
          <w:lang w:val="el-GR"/>
        </w:rPr>
        <w:t>ὦ τῆς ἁπάσης δυνάμεως ὑπέρτατε,</w:t>
      </w:r>
    </w:p>
    <w:p w14:paraId="7C82654D" w14:textId="77777777" w:rsidR="002464EA" w:rsidRPr="002464EA" w:rsidRDefault="002464EA" w:rsidP="002464EA">
      <w:pPr>
        <w:pStyle w:val="indentpoetry"/>
        <w:rPr>
          <w:lang w:val="el-GR"/>
        </w:rPr>
      </w:pPr>
      <w:r w:rsidRPr="002464EA">
        <w:rPr>
          <w:lang w:val="el-GR"/>
        </w:rPr>
        <w:t>σῶσόν με τὸν δύστηνον ἐκ παντὸς φθόνου.</w:t>
      </w:r>
    </w:p>
    <w:p w14:paraId="31752F90" w14:textId="77777777" w:rsidR="002464EA" w:rsidRPr="002464EA" w:rsidRDefault="002464EA" w:rsidP="002464EA">
      <w:pPr>
        <w:pStyle w:val="indentpoetry"/>
        <w:rPr>
          <w:lang w:val="el-GR"/>
        </w:rPr>
      </w:pPr>
      <w:r w:rsidRPr="002464EA">
        <w:rPr>
          <w:lang w:val="el-GR"/>
        </w:rPr>
        <w:t>θέλεις ἀκοῦσαι, βούλομαι κἀγὼ λέγειν</w:t>
      </w:r>
    </w:p>
    <w:p w14:paraId="77AE7310" w14:textId="77777777" w:rsidR="002464EA" w:rsidRPr="002464EA" w:rsidRDefault="002464EA" w:rsidP="002464EA">
      <w:pPr>
        <w:pStyle w:val="indentpoetry"/>
        <w:rPr>
          <w:lang w:val="el-GR"/>
        </w:rPr>
      </w:pPr>
      <w:r w:rsidRPr="002464EA">
        <w:rPr>
          <w:lang w:val="el-GR"/>
        </w:rPr>
        <w:t>τὸ γὰρ θέλημα τὴν χάριν τίκτει διπλῆν,</w:t>
      </w:r>
    </w:p>
    <w:p w14:paraId="7A811F26" w14:textId="77777777" w:rsidR="002464EA" w:rsidRPr="002464EA" w:rsidRDefault="002464EA" w:rsidP="002464EA">
      <w:pPr>
        <w:pStyle w:val="indentpoetry"/>
        <w:rPr>
          <w:lang w:val="el-GR"/>
        </w:rPr>
      </w:pPr>
      <w:r w:rsidRPr="002464EA">
        <w:rPr>
          <w:lang w:val="el-GR"/>
        </w:rPr>
        <w:t>διπλοῦν τε κάλλος τῷ λόγῳ χαρίζεται</w:t>
      </w:r>
    </w:p>
    <w:p w14:paraId="4694FC33" w14:textId="77777777" w:rsidR="002464EA" w:rsidRPr="002464EA" w:rsidRDefault="002464EA" w:rsidP="002464EA">
      <w:pPr>
        <w:pStyle w:val="indentpoetry"/>
        <w:rPr>
          <w:lang w:val="el-GR"/>
        </w:rPr>
      </w:pPr>
      <w:r w:rsidRPr="002464EA">
        <w:rPr>
          <w:lang w:val="el-GR"/>
        </w:rPr>
        <w:t>λέγοντι κόσμος, καὶ κλύοντι σεμνότης.</w:t>
      </w:r>
    </w:p>
    <w:p w14:paraId="5C9C130E" w14:textId="77777777" w:rsidR="002464EA" w:rsidRPr="002464EA" w:rsidRDefault="002464EA" w:rsidP="002464EA">
      <w:pPr>
        <w:pStyle w:val="indentpoetry"/>
        <w:rPr>
          <w:lang w:val="el-GR"/>
        </w:rPr>
      </w:pPr>
      <w:r w:rsidRPr="002464EA">
        <w:rPr>
          <w:b/>
          <w:bCs/>
          <w:lang w:val="el-GR"/>
        </w:rPr>
        <w:t>φωστὴρ γὰρ εἶ σὺ</w:t>
      </w:r>
      <w:r w:rsidRPr="002464EA">
        <w:rPr>
          <w:lang w:val="el-GR"/>
        </w:rPr>
        <w:t xml:space="preserve"> καὶ λόγων καὶ τῶν νόμων,</w:t>
      </w:r>
    </w:p>
    <w:p w14:paraId="6A93FAD1" w14:textId="77777777" w:rsidR="002464EA" w:rsidRPr="002464EA" w:rsidRDefault="002464EA" w:rsidP="002464EA">
      <w:pPr>
        <w:pStyle w:val="indentpoetry"/>
        <w:rPr>
          <w:lang w:val="el-GR"/>
        </w:rPr>
      </w:pPr>
      <w:r w:rsidRPr="002464EA">
        <w:rPr>
          <w:lang w:val="el-GR"/>
        </w:rPr>
        <w:t>νόμοις δικάζων καὶ λόγοισιν ἐκπρέπων.</w:t>
      </w:r>
    </w:p>
    <w:p w14:paraId="4A0A11FF" w14:textId="77777777" w:rsidR="002464EA" w:rsidRPr="002464EA" w:rsidRDefault="002464EA" w:rsidP="002464EA">
      <w:pPr>
        <w:pStyle w:val="indentpoetry"/>
        <w:rPr>
          <w:lang w:val="el-GR"/>
        </w:rPr>
      </w:pPr>
      <w:r w:rsidRPr="002464EA">
        <w:rPr>
          <w:lang w:val="el-GR"/>
        </w:rPr>
        <w:t>αἴλουρον εἶδον χρυσίου τὸν πρίγκιπα,</w:t>
      </w:r>
    </w:p>
    <w:p w14:paraId="022D6744" w14:textId="4F862E3E" w:rsidR="002464EA" w:rsidRDefault="002464EA" w:rsidP="002464EA">
      <w:pPr>
        <w:pStyle w:val="indentpoetry"/>
        <w:rPr>
          <w:lang w:val="el-GR"/>
        </w:rPr>
      </w:pPr>
      <w:r w:rsidRPr="002464EA">
        <w:rPr>
          <w:lang w:val="el-GR"/>
        </w:rPr>
        <w:t>ἢ βδέλλαν ὠμήν, χρυσοκόλλητον χόλον.</w:t>
      </w:r>
    </w:p>
    <w:p w14:paraId="0FBC5D37" w14:textId="77777777" w:rsidR="002464EA" w:rsidRDefault="002464EA" w:rsidP="002464EA">
      <w:pPr>
        <w:pStyle w:val="indentpoetry"/>
        <w:rPr>
          <w:lang w:val="el-GR"/>
        </w:rPr>
      </w:pPr>
    </w:p>
    <w:p w14:paraId="0478EDD1" w14:textId="77777777" w:rsidR="002464EA" w:rsidRPr="002464EA" w:rsidRDefault="002464EA" w:rsidP="002464EA">
      <w:pPr>
        <w:pStyle w:val="indentpoetry"/>
      </w:pPr>
      <w:r w:rsidRPr="002464EA">
        <w:t xml:space="preserve">O THOU who art higher than all power, </w:t>
      </w:r>
    </w:p>
    <w:p w14:paraId="2E481CE8" w14:textId="77777777" w:rsidR="002464EA" w:rsidRPr="002464EA" w:rsidRDefault="002464EA" w:rsidP="002464EA">
      <w:pPr>
        <w:pStyle w:val="indentpoetry"/>
      </w:pPr>
      <w:r w:rsidRPr="002464EA">
        <w:t xml:space="preserve">save my wretched self from all envy. </w:t>
      </w:r>
    </w:p>
    <w:p w14:paraId="1F89A9AE" w14:textId="77777777" w:rsidR="002464EA" w:rsidRPr="002464EA" w:rsidRDefault="002464EA" w:rsidP="002464EA">
      <w:pPr>
        <w:pStyle w:val="indentpoetry"/>
      </w:pPr>
      <w:r w:rsidRPr="002464EA">
        <w:t xml:space="preserve">Thou </w:t>
      </w:r>
      <w:proofErr w:type="spellStart"/>
      <w:r w:rsidRPr="002464EA">
        <w:t>wouldest</w:t>
      </w:r>
      <w:proofErr w:type="spellEnd"/>
      <w:r w:rsidRPr="002464EA">
        <w:t xml:space="preserve"> hear and I, too, would speak; </w:t>
      </w:r>
    </w:p>
    <w:p w14:paraId="7F3F30EE" w14:textId="77777777" w:rsidR="002464EA" w:rsidRPr="002464EA" w:rsidRDefault="002464EA" w:rsidP="002464EA">
      <w:pPr>
        <w:pStyle w:val="indentpoetry"/>
      </w:pPr>
      <w:r w:rsidRPr="002464EA">
        <w:t xml:space="preserve">for the wish gives birth to double pleasure, </w:t>
      </w:r>
    </w:p>
    <w:p w14:paraId="3645078F" w14:textId="77777777" w:rsidR="002464EA" w:rsidRPr="002464EA" w:rsidRDefault="002464EA" w:rsidP="002464EA">
      <w:pPr>
        <w:pStyle w:val="indentpoetry"/>
      </w:pPr>
      <w:r w:rsidRPr="002464EA">
        <w:t xml:space="preserve">while elegance on the speaker's part and gravity on the hearer's </w:t>
      </w:r>
    </w:p>
    <w:p w14:paraId="113FBE69" w14:textId="77777777" w:rsidR="002464EA" w:rsidRPr="002464EA" w:rsidRDefault="002464EA" w:rsidP="002464EA">
      <w:pPr>
        <w:pStyle w:val="indentpoetry"/>
      </w:pPr>
      <w:r w:rsidRPr="002464EA">
        <w:t xml:space="preserve">bestow double beauty on the speech. </w:t>
      </w:r>
    </w:p>
    <w:p w14:paraId="5578843B" w14:textId="77777777" w:rsidR="002464EA" w:rsidRPr="002464EA" w:rsidRDefault="002464EA" w:rsidP="002464EA">
      <w:pPr>
        <w:pStyle w:val="indentpoetry"/>
      </w:pPr>
      <w:r w:rsidRPr="002464EA">
        <w:rPr>
          <w:b/>
          <w:bCs/>
        </w:rPr>
        <w:t>Thou art the luminary</w:t>
      </w:r>
      <w:r w:rsidRPr="002464EA">
        <w:t xml:space="preserve"> of speech and of laws, </w:t>
      </w:r>
    </w:p>
    <w:p w14:paraId="0B75AD38" w14:textId="77777777" w:rsidR="002464EA" w:rsidRPr="002464EA" w:rsidRDefault="002464EA" w:rsidP="002464EA">
      <w:pPr>
        <w:pStyle w:val="indentpoetry"/>
      </w:pPr>
      <w:r w:rsidRPr="002464EA">
        <w:t>judging by law and excelling in speech.</w:t>
      </w:r>
    </w:p>
    <w:p w14:paraId="32CAB9E0" w14:textId="77777777" w:rsidR="00721416" w:rsidRDefault="002464EA" w:rsidP="002464EA">
      <w:pPr>
        <w:pStyle w:val="indentpoetry"/>
      </w:pPr>
      <w:r w:rsidRPr="002464EA">
        <w:t>I saw in this prince a cat</w:t>
      </w:r>
      <w:r w:rsidR="00721416">
        <w:t>-</w:t>
      </w:r>
      <w:r w:rsidRPr="002464EA">
        <w:t>like gold</w:t>
      </w:r>
      <w:r w:rsidR="00721416">
        <w:t>-</w:t>
      </w:r>
      <w:r w:rsidRPr="002464EA">
        <w:t xml:space="preserve">grabber </w:t>
      </w:r>
    </w:p>
    <w:p w14:paraId="5EFF0A4A" w14:textId="4FF9875C" w:rsidR="002464EA" w:rsidRDefault="002464EA" w:rsidP="002464EA">
      <w:pPr>
        <w:pStyle w:val="indentpoetry"/>
      </w:pPr>
      <w:r w:rsidRPr="002464EA">
        <w:t>or a cruel leech, a mass of bile set in gold.</w:t>
      </w:r>
    </w:p>
    <w:p w14:paraId="75C5D23B" w14:textId="6736637D" w:rsidR="002464EA" w:rsidRDefault="00721416" w:rsidP="002464EA">
      <w:pPr>
        <w:pStyle w:val="MainText"/>
      </w:pPr>
      <w:r>
        <w:t>The last two lines here are perplexing. They may be original to the epigram, revealing the entire piece as ironic, or they may be a rude addition by another pen. But in either case, it is only too clear that the author of this epigram is saying that the one addressed is “</w:t>
      </w:r>
      <w:r w:rsidR="006F71D6">
        <w:t>a</w:t>
      </w:r>
      <w:r>
        <w:t xml:space="preserve"> star of words and laws/customs,” not that the one addressed is somehow, abstractly, the </w:t>
      </w:r>
      <w:r>
        <w:lastRenderedPageBreak/>
        <w:t>luminance or brightness</w:t>
      </w:r>
      <w:r w:rsidR="006B3E8C">
        <w:t xml:space="preserve"> of words and laws/customs. </w:t>
      </w:r>
      <w:r w:rsidR="000D0B86">
        <w:t>We have</w:t>
      </w:r>
      <w:r w:rsidR="006B3E8C">
        <w:t xml:space="preserve"> already seen (in n. </w:t>
      </w:r>
      <w:r w:rsidR="006B3E8C">
        <w:fldChar w:fldCharType="begin"/>
      </w:r>
      <w:r w:rsidR="006B3E8C">
        <w:instrText xml:space="preserve"> NOTEREF _Ref159581634 \h </w:instrText>
      </w:r>
      <w:r w:rsidR="006B3E8C">
        <w:fldChar w:fldCharType="separate"/>
      </w:r>
      <w:r w:rsidR="006B3E8C">
        <w:t>6</w:t>
      </w:r>
      <w:r w:rsidR="006B3E8C">
        <w:fldChar w:fldCharType="end"/>
      </w:r>
      <w:r w:rsidR="006B3E8C">
        <w:t xml:space="preserve">) that it was only too normal to call people </w:t>
      </w:r>
      <w:r w:rsidR="006B3E8C">
        <w:rPr>
          <w:lang w:val="el-GR"/>
        </w:rPr>
        <w:t>φωστη</w:t>
      </w:r>
      <w:r w:rsidR="006B3E8C" w:rsidRPr="006B3E8C">
        <w:t>͂</w:t>
      </w:r>
      <w:r w:rsidR="006B3E8C">
        <w:rPr>
          <w:lang w:val="el-GR"/>
        </w:rPr>
        <w:t>ρες</w:t>
      </w:r>
      <w:r w:rsidR="006B3E8C">
        <w:t xml:space="preserve">, to </w:t>
      </w:r>
      <w:r w:rsidR="000D0B86">
        <w:t>point to</w:t>
      </w:r>
      <w:r w:rsidR="006B3E8C">
        <w:t xml:space="preserve"> their fame and </w:t>
      </w:r>
      <w:r w:rsidR="00C015F7">
        <w:t xml:space="preserve">power of </w:t>
      </w:r>
      <w:r w:rsidR="006B3E8C">
        <w:t>influence. There is no reason to resist this sense in favor of one that makes little sense in this epigram.</w:t>
      </w:r>
      <w:r w:rsidR="00C015F7">
        <w:rPr>
          <w:rStyle w:val="FootnoteReference"/>
        </w:rPr>
        <w:footnoteReference w:id="18"/>
      </w:r>
    </w:p>
    <w:p w14:paraId="275BACB6" w14:textId="132128C0" w:rsidR="00C015F7" w:rsidRPr="000D0B86" w:rsidRDefault="00C015F7" w:rsidP="002464EA">
      <w:pPr>
        <w:pStyle w:val="MainText"/>
      </w:pPr>
      <w:r>
        <w:t>Such is the</w:t>
      </w:r>
      <w:r w:rsidR="00FC6625">
        <w:t xml:space="preserve"> entire</w:t>
      </w:r>
      <w:r>
        <w:t xml:space="preserve"> list of ancient texts that supposedly support the meaning “brightness, radiance, light” for </w:t>
      </w:r>
      <w:r>
        <w:rPr>
          <w:lang w:val="el-GR"/>
        </w:rPr>
        <w:t>φωστη</w:t>
      </w:r>
      <w:r w:rsidRPr="00C015F7">
        <w:t>́</w:t>
      </w:r>
      <w:r>
        <w:rPr>
          <w:lang w:val="el-GR"/>
        </w:rPr>
        <w:t>ρ</w:t>
      </w:r>
      <w:r>
        <w:t xml:space="preserve">. </w:t>
      </w:r>
      <w:r w:rsidR="008A75D3">
        <w:t xml:space="preserve">Neither of them easily </w:t>
      </w:r>
      <w:r>
        <w:t xml:space="preserve">allows, let alone inviting, this sense. </w:t>
      </w:r>
      <w:r w:rsidR="000D0B86">
        <w:t xml:space="preserve">Let us now turn to Rev. 21:11. Does it really </w:t>
      </w:r>
      <w:r w:rsidR="0093493E">
        <w:t>require a sense of</w:t>
      </w:r>
      <w:r w:rsidR="000D0B86">
        <w:t xml:space="preserve"> the word </w:t>
      </w:r>
      <w:r w:rsidR="000D0B86">
        <w:rPr>
          <w:lang w:val="el-GR"/>
        </w:rPr>
        <w:t>φωστη</w:t>
      </w:r>
      <w:r w:rsidR="000D0B86" w:rsidRPr="000D0B86">
        <w:t>́</w:t>
      </w:r>
      <w:r w:rsidR="000D0B86">
        <w:rPr>
          <w:lang w:val="el-GR"/>
        </w:rPr>
        <w:t>ρ</w:t>
      </w:r>
      <w:r w:rsidR="000D0B86" w:rsidRPr="000D0B86">
        <w:t xml:space="preserve"> </w:t>
      </w:r>
      <w:r w:rsidR="0093493E">
        <w:t xml:space="preserve">that is </w:t>
      </w:r>
      <w:r w:rsidR="000D0B86">
        <w:t>different from any other ancient text?</w:t>
      </w:r>
    </w:p>
    <w:p w14:paraId="6DF146A1" w14:textId="61F05F2E" w:rsidR="008A75D3" w:rsidRDefault="008A75D3" w:rsidP="008A75D3">
      <w:pPr>
        <w:pStyle w:val="MainHeading"/>
      </w:pPr>
      <w:r>
        <w:t>Exege</w:t>
      </w:r>
      <w:r w:rsidR="0016649A">
        <w:t xml:space="preserve">tical Remarks on </w:t>
      </w:r>
      <w:r>
        <w:t>Rev. 21:11</w:t>
      </w:r>
    </w:p>
    <w:p w14:paraId="29BC5FA4" w14:textId="2FC7EC80" w:rsidR="006B3E8C" w:rsidRDefault="008A75D3" w:rsidP="002464EA">
      <w:pPr>
        <w:pStyle w:val="MainText"/>
      </w:pPr>
      <w:r>
        <w:t xml:space="preserve">I demonstrated in my monograph </w:t>
      </w:r>
      <w:r>
        <w:rPr>
          <w:i/>
          <w:iCs/>
        </w:rPr>
        <w:t>After the Thousand Years</w:t>
      </w:r>
      <w:r>
        <w:t xml:space="preserve"> that a central component of John’s literary method </w:t>
      </w:r>
      <w:r w:rsidR="00234DB9">
        <w:t xml:space="preserve">can be seen in </w:t>
      </w:r>
    </w:p>
    <w:p w14:paraId="619EE0E1" w14:textId="6EB85624" w:rsidR="00234DB9" w:rsidRDefault="00234DB9" w:rsidP="00234DB9">
      <w:pPr>
        <w:pStyle w:val="indent"/>
        <w:rPr>
          <w:rFonts w:asciiTheme="majorBidi" w:hAnsiTheme="majorBidi" w:cstheme="majorBidi"/>
        </w:rPr>
      </w:pPr>
      <w:r w:rsidRPr="00737655">
        <w:rPr>
          <w:rFonts w:asciiTheme="majorBidi" w:hAnsiTheme="majorBidi" w:cstheme="majorBidi"/>
        </w:rPr>
        <w:t>the extensive network of cross-references and allusions that affects the interpretation of virtually every passage in Revelation. That is, context in Revelation consists of a system of references that progressively build up hermen</w:t>
      </w:r>
      <w:r>
        <w:rPr>
          <w:rFonts w:asciiTheme="majorBidi" w:hAnsiTheme="majorBidi" w:cstheme="majorBidi"/>
        </w:rPr>
        <w:softHyphen/>
      </w:r>
      <w:r w:rsidRPr="00737655">
        <w:rPr>
          <w:rFonts w:asciiTheme="majorBidi" w:hAnsiTheme="majorBidi" w:cstheme="majorBidi"/>
        </w:rPr>
        <w:t>eutical precedents in the text, precedents that precondition the meaning of each new passage in highly significant ways. It is thus only by placing passages and their elements correctly in the network of such precedents that they can be effectively interpreted.</w:t>
      </w:r>
      <w:r w:rsidRPr="00737655">
        <w:rPr>
          <w:rStyle w:val="FootnoteReference"/>
          <w:rFonts w:asciiTheme="majorBidi" w:hAnsiTheme="majorBidi" w:cstheme="majorBidi"/>
        </w:rPr>
        <w:footnoteReference w:id="19"/>
      </w:r>
    </w:p>
    <w:p w14:paraId="63C8A153" w14:textId="30DB037D" w:rsidR="00234DB9" w:rsidRDefault="00763AA0" w:rsidP="00234DB9">
      <w:pPr>
        <w:pStyle w:val="MainText"/>
      </w:pPr>
      <w:r>
        <w:t xml:space="preserve">To give an example, </w:t>
      </w:r>
      <w:r w:rsidR="00234DB9">
        <w:t>Christ’s coming in glory</w:t>
      </w:r>
      <w:r>
        <w:t xml:space="preserve"> to judge the world is promised in Rev. 1:7, with allusions to Dan. 7:13 and Zech. 12:10, is alluded to multiple times in the letters to the seven churches, is proclaimed in Rev. 11:15-18 with allusion to Ps. 2:1-5</w:t>
      </w:r>
      <w:r w:rsidR="0057210C">
        <w:t xml:space="preserve">, is announced as a wedding in Rev. 19:6-9, and is finally seen </w:t>
      </w:r>
      <w:r w:rsidR="00347A15">
        <w:t xml:space="preserve">and described </w:t>
      </w:r>
      <w:r w:rsidR="0057210C">
        <w:t xml:space="preserve">in a dramatic way in Rev. 19:11-21, with allusions to Ps. 2:9 and Ezek. 39:18-20. </w:t>
      </w:r>
    </w:p>
    <w:p w14:paraId="0F9D9913" w14:textId="12C3B65C" w:rsidR="00BE1B4F" w:rsidRDefault="009323A4" w:rsidP="00234DB9">
      <w:pPr>
        <w:pStyle w:val="MainText"/>
      </w:pPr>
      <w:r>
        <w:t>Similarly, the New Jerusalem</w:t>
      </w:r>
      <w:r w:rsidR="00210936">
        <w:t xml:space="preserve"> </w:t>
      </w:r>
      <w:r>
        <w:t>is first mentioned by Jesus in Rev. 3:12</w:t>
      </w:r>
      <w:r w:rsidR="00347A15">
        <w:t>, with an allusion to Isa. 65:17-18,</w:t>
      </w:r>
      <w:r>
        <w:t xml:space="preserve"> as part of a promise to the overcomers</w:t>
      </w:r>
      <w:r w:rsidR="00210936">
        <w:t>.</w:t>
      </w:r>
      <w:r>
        <w:t xml:space="preserve"> </w:t>
      </w:r>
      <w:r w:rsidR="00210936">
        <w:t>He says that it “</w:t>
      </w:r>
      <w:r w:rsidR="00210936" w:rsidRPr="00BE1B4F">
        <w:t>comes down from my God out of heaven</w:t>
      </w:r>
      <w:r w:rsidR="00210936">
        <w:t>.” T</w:t>
      </w:r>
      <w:r>
        <w:t>hen</w:t>
      </w:r>
      <w:r w:rsidR="00BE1B4F">
        <w:t>,</w:t>
      </w:r>
      <w:r>
        <w:t xml:space="preserve"> </w:t>
      </w:r>
      <w:r w:rsidR="00245AB4">
        <w:t>in 21:1-2</w:t>
      </w:r>
      <w:r w:rsidR="00245AB4">
        <w:t xml:space="preserve">, </w:t>
      </w:r>
      <w:r w:rsidR="00BE1B4F">
        <w:t xml:space="preserve">in the </w:t>
      </w:r>
      <w:r w:rsidR="00210936">
        <w:t>context of a new heavens and a new earth</w:t>
      </w:r>
      <w:r w:rsidR="00BE1B4F">
        <w:t xml:space="preserve">, John describes seeing </w:t>
      </w:r>
      <w:r>
        <w:t>“the Holy City</w:t>
      </w:r>
      <w:r w:rsidR="00BE1B4F">
        <w:t>, new Jerusalem,</w:t>
      </w:r>
      <w:r>
        <w:t xml:space="preserve"> coming down </w:t>
      </w:r>
      <w:r w:rsidR="00BE1B4F">
        <w:t xml:space="preserve">out of heaven from God, </w:t>
      </w:r>
      <w:r w:rsidR="00BE1B4F" w:rsidRPr="00BE1B4F">
        <w:t>prepared as a bride adorned for her husband</w:t>
      </w:r>
      <w:r w:rsidR="00245AB4">
        <w:t>,</w:t>
      </w:r>
      <w:r w:rsidR="00BE1B4F">
        <w:t xml:space="preserve">” with clear allusions to </w:t>
      </w:r>
      <w:r w:rsidR="00347A15">
        <w:t xml:space="preserve">Isa. 65:17-18, </w:t>
      </w:r>
      <w:r w:rsidR="00210936">
        <w:t xml:space="preserve">Rev. </w:t>
      </w:r>
      <w:r w:rsidR="00BE1B4F">
        <w:t>3:2</w:t>
      </w:r>
      <w:r w:rsidR="00347A15">
        <w:t>,</w:t>
      </w:r>
      <w:r w:rsidR="00BE1B4F">
        <w:t xml:space="preserve"> and </w:t>
      </w:r>
      <w:r w:rsidR="00245AB4">
        <w:t xml:space="preserve">Rev. </w:t>
      </w:r>
      <w:r w:rsidR="00BE1B4F">
        <w:t xml:space="preserve">19:7-8. </w:t>
      </w:r>
      <w:r w:rsidR="00B86AFC">
        <w:t xml:space="preserve">This opens to a promise from the Enthroned One that “God will </w:t>
      </w:r>
      <w:r w:rsidR="00B86AFC" w:rsidRPr="00B86AFC">
        <w:t>wipe away every tear from their eyes, and death shall be no more</w:t>
      </w:r>
      <w:r w:rsidR="00B86AFC">
        <w:t xml:space="preserve">” </w:t>
      </w:r>
      <w:r w:rsidR="00210936">
        <w:t xml:space="preserve">in </w:t>
      </w:r>
      <w:r w:rsidR="00B86AFC">
        <w:t xml:space="preserve">21:4, alluding to Isa. 25:7-8. </w:t>
      </w:r>
      <w:r w:rsidR="00BE1B4F">
        <w:t>All of this prepares for a second vision of the descent of the New Jerusalem in 21:9</w:t>
      </w:r>
      <w:r w:rsidR="00245AB4">
        <w:t>-11</w:t>
      </w:r>
      <w:r w:rsidR="00B86AFC">
        <w:t>. An angel says to John,</w:t>
      </w:r>
    </w:p>
    <w:p w14:paraId="07F2659F" w14:textId="20D2476F" w:rsidR="009323A4" w:rsidRDefault="00B86AFC" w:rsidP="00B86AFC">
      <w:pPr>
        <w:pStyle w:val="indent"/>
      </w:pPr>
      <w:r w:rsidRPr="00210936">
        <w:rPr>
          <w:vertAlign w:val="subscript"/>
        </w:rPr>
        <w:t>9</w:t>
      </w:r>
      <w:r>
        <w:t xml:space="preserve"> </w:t>
      </w:r>
      <w:proofErr w:type="gramStart"/>
      <w:r>
        <w:t>…“</w:t>
      </w:r>
      <w:proofErr w:type="gramEnd"/>
      <w:r>
        <w:t xml:space="preserve">Come, I will show you the Bride, the wife of the Lamb.” </w:t>
      </w:r>
      <w:r w:rsidRPr="00210936">
        <w:rPr>
          <w:vertAlign w:val="subscript"/>
        </w:rPr>
        <w:t>10</w:t>
      </w:r>
      <w:r>
        <w:t xml:space="preserve"> And he carried me away in the Spirit to a great, high mountain, and showed me the holy city Jerusalem coming down out of heaven from God, </w:t>
      </w:r>
      <w:r w:rsidRPr="00210936">
        <w:rPr>
          <w:vertAlign w:val="subscript"/>
        </w:rPr>
        <w:t>11</w:t>
      </w:r>
      <w:r>
        <w:t xml:space="preserve"> having the glory of God, </w:t>
      </w:r>
      <w:r w:rsidR="00210936">
        <w:lastRenderedPageBreak/>
        <w:t>the source of its light</w:t>
      </w:r>
      <w:r w:rsidR="00210936">
        <w:rPr>
          <w:rStyle w:val="FootnoteReference"/>
        </w:rPr>
        <w:footnoteReference w:id="20"/>
      </w:r>
      <w:r w:rsidR="00210936">
        <w:t xml:space="preserve"> </w:t>
      </w:r>
      <w:r>
        <w:t xml:space="preserve">like a most rare jewel, like a jasper, clear as crystal. </w:t>
      </w:r>
      <w:r w:rsidRPr="00210936">
        <w:rPr>
          <w:vertAlign w:val="subscript"/>
        </w:rPr>
        <w:t>12</w:t>
      </w:r>
      <w:r>
        <w:t xml:space="preserve"> It had a great, high wall... </w:t>
      </w:r>
      <w:r w:rsidRPr="00210936">
        <w:rPr>
          <w:vertAlign w:val="subscript"/>
        </w:rPr>
        <w:t>18</w:t>
      </w:r>
      <w:r>
        <w:t xml:space="preserve"> The </w:t>
      </w:r>
      <w:r w:rsidR="004876AB">
        <w:t xml:space="preserve">material of </w:t>
      </w:r>
      <w:r w:rsidR="00210936">
        <w:t>its</w:t>
      </w:r>
      <w:r w:rsidR="004876AB">
        <w:t xml:space="preserve"> </w:t>
      </w:r>
      <w:r>
        <w:t>wall was jasper</w:t>
      </w:r>
      <w:r w:rsidR="004876AB">
        <w:rPr>
          <w:rStyle w:val="FootnoteReference"/>
        </w:rPr>
        <w:footnoteReference w:id="21"/>
      </w:r>
      <w:r>
        <w:t>…</w:t>
      </w:r>
    </w:p>
    <w:p w14:paraId="019A15A1" w14:textId="0AAE366B" w:rsidR="004B3422" w:rsidRDefault="005E1D2B" w:rsidP="00A1469C">
      <w:pPr>
        <w:pStyle w:val="MainText"/>
      </w:pPr>
      <w:r>
        <w:t>Note first that it makes no sense to compare “radiance” or “brightness</w:t>
      </w:r>
      <w:r w:rsidR="00E82C61">
        <w:t>,</w:t>
      </w:r>
      <w:r>
        <w:t xml:space="preserve">” or the light that comes </w:t>
      </w:r>
      <w:r w:rsidRPr="00E82C61">
        <w:rPr>
          <w:i/>
          <w:iCs/>
        </w:rPr>
        <w:t>from</w:t>
      </w:r>
      <w:r>
        <w:t xml:space="preserve"> a light source</w:t>
      </w:r>
      <w:r w:rsidR="00E82C61">
        <w:t>,</w:t>
      </w:r>
      <w:r>
        <w:t xml:space="preserve"> to a gemstone. One can imagine a light-source</w:t>
      </w:r>
      <w:r w:rsidR="00E82C61">
        <w:t xml:space="preserve"> being compared to a gemstone that </w:t>
      </w:r>
      <w:r w:rsidR="000B66AD">
        <w:t>sparkles, throwing off light</w:t>
      </w:r>
      <w:r w:rsidR="00E82C61">
        <w:t xml:space="preserve">. </w:t>
      </w:r>
      <w:r w:rsidR="00232246">
        <w:t xml:space="preserve">For example, a bright, twinkling star (which is a </w:t>
      </w:r>
      <w:r w:rsidR="00232246">
        <w:rPr>
          <w:lang w:val="el-GR"/>
        </w:rPr>
        <w:t>φωστη</w:t>
      </w:r>
      <w:r w:rsidR="00232246" w:rsidRPr="00232246">
        <w:t>́</w:t>
      </w:r>
      <w:r w:rsidR="00232246">
        <w:rPr>
          <w:lang w:val="el-GR"/>
        </w:rPr>
        <w:t>ρ</w:t>
      </w:r>
      <w:r w:rsidR="00232246" w:rsidRPr="00232246">
        <w:t xml:space="preserve">) </w:t>
      </w:r>
      <w:r w:rsidR="00232246">
        <w:t xml:space="preserve">could be compared to a </w:t>
      </w:r>
      <w:r w:rsidR="009A131A">
        <w:t>“</w:t>
      </w:r>
      <w:r w:rsidR="00AE1FD2">
        <w:t>diamond</w:t>
      </w:r>
      <w:r w:rsidR="009A131A">
        <w:t xml:space="preserve"> in the sky</w:t>
      </w:r>
      <w:r w:rsidR="00232246">
        <w:t>.</w:t>
      </w:r>
      <w:r w:rsidR="009A131A">
        <w:t>”</w:t>
      </w:r>
      <w:r w:rsidR="00232246">
        <w:t xml:space="preserve"> </w:t>
      </w:r>
      <w:r w:rsidR="00F523A6">
        <w:t xml:space="preserve">But </w:t>
      </w:r>
      <w:r w:rsidR="000B66AD">
        <w:t>no</w:t>
      </w:r>
      <w:r w:rsidR="0016649A">
        <w:t xml:space="preserve"> one</w:t>
      </w:r>
      <w:r w:rsidR="000B66AD">
        <w:t xml:space="preserve"> would think to compare </w:t>
      </w:r>
      <w:r w:rsidR="00F523A6">
        <w:t xml:space="preserve">starlight </w:t>
      </w:r>
      <w:r w:rsidR="000B66AD">
        <w:t>to a diamond</w:t>
      </w:r>
      <w:r w:rsidR="00F523A6">
        <w:t>.</w:t>
      </w:r>
      <w:r w:rsidR="00AE1FD2">
        <w:t xml:space="preserve"> </w:t>
      </w:r>
      <w:r w:rsidR="004B3422">
        <w:t xml:space="preserve">For this reason, it is surprising to me that the great majority of commentators seem </w:t>
      </w:r>
      <w:r w:rsidR="000B66AD">
        <w:t>at ease</w:t>
      </w:r>
      <w:r w:rsidR="004B3422">
        <w:t xml:space="preserve"> commenting on a text that they think says “her radiance was like a most rare jewel, like a jasper.” </w:t>
      </w:r>
    </w:p>
    <w:p w14:paraId="0822D911" w14:textId="46DDF8D6" w:rsidR="005E1D2B" w:rsidRDefault="00AE1FD2" w:rsidP="00A1469C">
      <w:pPr>
        <w:pStyle w:val="MainText"/>
      </w:pPr>
      <w:r>
        <w:t xml:space="preserve">This raises the simple question, </w:t>
      </w:r>
      <w:r>
        <w:rPr>
          <w:i/>
          <w:iCs/>
        </w:rPr>
        <w:t>what is the New Jerusalem’s light source?</w:t>
      </w:r>
      <w:r>
        <w:t xml:space="preserve"> Several commentators, perhaps naturally resistant to the notion that God the </w:t>
      </w:r>
      <w:r w:rsidR="00AF5C3B">
        <w:t>Almighty</w:t>
      </w:r>
      <w:r>
        <w:t xml:space="preserve"> could be compared to a costly clear gem</w:t>
      </w:r>
      <w:r w:rsidR="005632DD">
        <w:t>stone</w:t>
      </w:r>
      <w:r>
        <w:t xml:space="preserve">, affirm that </w:t>
      </w:r>
      <w:r>
        <w:rPr>
          <w:lang w:val="el-GR"/>
        </w:rPr>
        <w:t>φωστη</w:t>
      </w:r>
      <w:r w:rsidRPr="00AE1FD2">
        <w:t>́</w:t>
      </w:r>
      <w:r>
        <w:rPr>
          <w:lang w:val="el-GR"/>
        </w:rPr>
        <w:t>ρ</w:t>
      </w:r>
      <w:r>
        <w:t xml:space="preserve"> means luminary/light source, but say that the </w:t>
      </w:r>
      <w:r>
        <w:rPr>
          <w:lang w:val="el-GR"/>
        </w:rPr>
        <w:t>φωστη</w:t>
      </w:r>
      <w:r w:rsidRPr="00AE1FD2">
        <w:t>́</w:t>
      </w:r>
      <w:r>
        <w:rPr>
          <w:lang w:val="el-GR"/>
        </w:rPr>
        <w:t>ρ</w:t>
      </w:r>
      <w:r>
        <w:t xml:space="preserve"> is the </w:t>
      </w:r>
      <w:r w:rsidRPr="004B3422">
        <w:rPr>
          <w:i/>
          <w:iCs/>
        </w:rPr>
        <w:t>glory</w:t>
      </w:r>
      <w:r>
        <w:t xml:space="preserve"> that shines on the New Jerusalem from God—after all, she “has the glory of God” (21:11a).</w:t>
      </w:r>
      <w:r w:rsidR="00A1469C">
        <w:rPr>
          <w:rStyle w:val="FootnoteReference"/>
        </w:rPr>
        <w:footnoteReference w:id="22"/>
      </w:r>
      <w:r w:rsidR="00A1469C">
        <w:t xml:space="preserve"> But this identification </w:t>
      </w:r>
      <w:r w:rsidR="00A46B24">
        <w:t xml:space="preserve">will </w:t>
      </w:r>
      <w:r w:rsidR="00245AB4">
        <w:t>scarcely</w:t>
      </w:r>
      <w:r w:rsidR="00A46B24">
        <w:t xml:space="preserve"> work</w:t>
      </w:r>
      <w:r w:rsidR="00A1469C">
        <w:t xml:space="preserve">, because, as above, God’s glory is imagined as the light that emanates </w:t>
      </w:r>
      <w:r w:rsidR="00A1469C" w:rsidRPr="00A1469C">
        <w:rPr>
          <w:i/>
          <w:iCs/>
        </w:rPr>
        <w:t>from</w:t>
      </w:r>
      <w:r w:rsidR="00A1469C">
        <w:t xml:space="preserve"> God, </w:t>
      </w:r>
      <w:r w:rsidR="000B66AD">
        <w:t xml:space="preserve">and is reflected from the New Jerusalem, </w:t>
      </w:r>
      <w:r w:rsidR="00A1469C">
        <w:t>and it is not itself a light source.</w:t>
      </w:r>
    </w:p>
    <w:p w14:paraId="06DB4C3B" w14:textId="50B9D917" w:rsidR="004B3422" w:rsidRDefault="004B3422" w:rsidP="00A1469C">
      <w:pPr>
        <w:pStyle w:val="MainText"/>
      </w:pPr>
      <w:r>
        <w:t xml:space="preserve">Another approach is to understand that </w:t>
      </w:r>
      <w:r>
        <w:rPr>
          <w:lang w:val="el-GR"/>
        </w:rPr>
        <w:t>φωστη</w:t>
      </w:r>
      <w:r w:rsidRPr="004B3422">
        <w:t>́</w:t>
      </w:r>
      <w:r>
        <w:rPr>
          <w:lang w:val="el-GR"/>
        </w:rPr>
        <w:t>ρ</w:t>
      </w:r>
      <w:r>
        <w:t xml:space="preserve"> means luminary and, by reference to </w:t>
      </w:r>
      <w:r w:rsidR="00245AB4">
        <w:t xml:space="preserve">Rev. </w:t>
      </w:r>
      <w:r>
        <w:t xml:space="preserve">21:22-23, </w:t>
      </w:r>
      <w:r w:rsidR="000B66AD">
        <w:t xml:space="preserve">to </w:t>
      </w:r>
      <w:r>
        <w:t>identify it as Christ:</w:t>
      </w:r>
      <w:r>
        <w:rPr>
          <w:rStyle w:val="FootnoteReference"/>
        </w:rPr>
        <w:footnoteReference w:id="23"/>
      </w:r>
    </w:p>
    <w:p w14:paraId="5AEFEB28" w14:textId="4C83795F" w:rsidR="004B3422" w:rsidRDefault="004B3422" w:rsidP="004B3422">
      <w:pPr>
        <w:pStyle w:val="indent"/>
      </w:pPr>
      <w:r>
        <w:lastRenderedPageBreak/>
        <w:t>And I saw no temple in the city, for its temple is the Lord God the Almighty and the Lamb. And the city has no need of sun or moon to shine on it, for the glory of God gives it light, and its lamp is the Lamb.</w:t>
      </w:r>
    </w:p>
    <w:p w14:paraId="50ACD7B1" w14:textId="2344D969" w:rsidR="005424EF" w:rsidRDefault="000B66AD" w:rsidP="005424EF">
      <w:pPr>
        <w:pStyle w:val="MainText"/>
      </w:pPr>
      <w:r>
        <w:t xml:space="preserve">It is fair enough to see Christ as the luminary of the New Jerusalem, since a lamp is an example of a </w:t>
      </w:r>
      <w:r>
        <w:rPr>
          <w:lang w:val="el-GR"/>
        </w:rPr>
        <w:t>φωστη</w:t>
      </w:r>
      <w:r w:rsidRPr="000B66AD">
        <w:t>́</w:t>
      </w:r>
      <w:r>
        <w:rPr>
          <w:lang w:val="el-GR"/>
        </w:rPr>
        <w:t>ρ</w:t>
      </w:r>
      <w:r>
        <w:t xml:space="preserve">. But </w:t>
      </w:r>
      <w:r w:rsidR="00073C41">
        <w:t>since</w:t>
      </w:r>
      <w:r>
        <w:t xml:space="preserve"> “the glory of God gives it light</w:t>
      </w:r>
      <w:r w:rsidR="0016649A">
        <w:t>,</w:t>
      </w:r>
      <w:r>
        <w:t>”</w:t>
      </w:r>
      <w:r w:rsidR="0016649A">
        <w:rPr>
          <w:rStyle w:val="FootnoteReference"/>
        </w:rPr>
        <w:footnoteReference w:id="24"/>
      </w:r>
      <w:r w:rsidR="00073C41">
        <w:t xml:space="preserve"> then God the Father, the </w:t>
      </w:r>
      <w:r w:rsidR="009A131A">
        <w:t>source</w:t>
      </w:r>
      <w:r w:rsidR="00073C41">
        <w:t xml:space="preserve"> of the glory-light that lights her up, is also himself equally her </w:t>
      </w:r>
      <w:r w:rsidR="00073C41">
        <w:rPr>
          <w:lang w:val="el-GR"/>
        </w:rPr>
        <w:t>φωστη</w:t>
      </w:r>
      <w:r w:rsidR="00073C41" w:rsidRPr="00073C41">
        <w:t>́</w:t>
      </w:r>
      <w:r w:rsidR="00073C41">
        <w:rPr>
          <w:lang w:val="el-GR"/>
        </w:rPr>
        <w:t>ρ</w:t>
      </w:r>
      <w:r w:rsidR="00073C41">
        <w:t xml:space="preserve">. </w:t>
      </w:r>
      <w:r w:rsidR="005424EF">
        <w:t>And John very soon</w:t>
      </w:r>
      <w:r w:rsidR="009A131A">
        <w:t xml:space="preserve"> adds</w:t>
      </w:r>
      <w:r w:rsidR="005424EF">
        <w:t xml:space="preserve"> a variation of 21:23 that can be taken in this way:</w:t>
      </w:r>
    </w:p>
    <w:p w14:paraId="656A6C16" w14:textId="3A40F73A" w:rsidR="005424EF" w:rsidRDefault="005424EF" w:rsidP="005424EF">
      <w:pPr>
        <w:pStyle w:val="indent"/>
      </w:pPr>
      <w:r w:rsidRPr="005424EF">
        <w:t xml:space="preserve">And night will be no more. They will need no light of lamp or sun, for the Lord God </w:t>
      </w:r>
      <w:r>
        <w:t>will shine on them</w:t>
      </w:r>
      <w:r w:rsidRPr="005424EF">
        <w:t>,</w:t>
      </w:r>
      <w:r>
        <w:rPr>
          <w:rStyle w:val="FootnoteReference"/>
        </w:rPr>
        <w:footnoteReference w:id="25"/>
      </w:r>
      <w:r w:rsidRPr="005424EF">
        <w:t xml:space="preserve"> and they will reign forever and ever.</w:t>
      </w:r>
      <w:r>
        <w:t xml:space="preserve"> (Rev. 22:5)</w:t>
      </w:r>
    </w:p>
    <w:p w14:paraId="39A644CE" w14:textId="1B4E0840" w:rsidR="005E1D2B" w:rsidRDefault="005424EF" w:rsidP="00D92562">
      <w:pPr>
        <w:pStyle w:val="MainText"/>
      </w:pPr>
      <w:r>
        <w:t xml:space="preserve">One probably </w:t>
      </w:r>
      <w:r w:rsidR="00B46173">
        <w:t xml:space="preserve">does not need to choose one option against the other. </w:t>
      </w:r>
      <w:r w:rsidR="00073C41">
        <w:t xml:space="preserve">A person who knows John’s literary style well should recognize that there is no tension between the Father and the Lamb being the </w:t>
      </w:r>
      <w:r w:rsidR="00073C41">
        <w:rPr>
          <w:lang w:val="el-GR"/>
        </w:rPr>
        <w:t>φωστη</w:t>
      </w:r>
      <w:r w:rsidR="00073C41" w:rsidRPr="00073C41">
        <w:t>́</w:t>
      </w:r>
      <w:r w:rsidR="00073C41">
        <w:rPr>
          <w:lang w:val="el-GR"/>
        </w:rPr>
        <w:t>ρ</w:t>
      </w:r>
      <w:r w:rsidR="00073C41">
        <w:t xml:space="preserve"> of the </w:t>
      </w:r>
      <w:r w:rsidR="00245AB4">
        <w:t xml:space="preserve">Beloved </w:t>
      </w:r>
      <w:r w:rsidR="00073C41">
        <w:t xml:space="preserve">City. </w:t>
      </w:r>
      <w:r w:rsidR="00AF5C3B">
        <w:t>Jesus reminds Revelation’s readers that he</w:t>
      </w:r>
      <w:r w:rsidR="00073C41">
        <w:t xml:space="preserve"> sat down on the throne with </w:t>
      </w:r>
      <w:r w:rsidR="007F62CA">
        <w:t>his</w:t>
      </w:r>
      <w:r w:rsidR="00073C41">
        <w:t xml:space="preserve"> Father </w:t>
      </w:r>
      <w:r w:rsidR="00AF5C3B">
        <w:t xml:space="preserve">at his ascension </w:t>
      </w:r>
      <w:r w:rsidR="00073C41">
        <w:t>(Rev. 3:21),</w:t>
      </w:r>
      <w:r w:rsidR="007F62CA">
        <w:rPr>
          <w:rStyle w:val="FootnoteReference"/>
        </w:rPr>
        <w:footnoteReference w:id="26"/>
      </w:r>
      <w:r w:rsidR="00073C41">
        <w:t xml:space="preserve"> and when the Father </w:t>
      </w:r>
      <w:r w:rsidR="004B476E">
        <w:t>appears</w:t>
      </w:r>
      <w:r w:rsidR="00073C41">
        <w:t xml:space="preserve"> to judge the world, </w:t>
      </w:r>
      <w:r w:rsidR="00B46173">
        <w:t>he is seen</w:t>
      </w:r>
      <w:r w:rsidR="00073C41">
        <w:t xml:space="preserve"> co-enthroned with the Lamb:</w:t>
      </w:r>
    </w:p>
    <w:p w14:paraId="53AC3C9C" w14:textId="62DFBC7C" w:rsidR="00073C41" w:rsidRDefault="00073C41" w:rsidP="004B476E">
      <w:pPr>
        <w:pStyle w:val="indent"/>
      </w:pPr>
      <w:r w:rsidRPr="004B476E">
        <w:rPr>
          <w:vertAlign w:val="subscript"/>
        </w:rPr>
        <w:t>14</w:t>
      </w:r>
      <w:r w:rsidRPr="00073C41">
        <w:t xml:space="preserve"> The sky vanished like a scroll that is being rolled up, and every mountain and island was removed from its place. </w:t>
      </w:r>
      <w:r w:rsidRPr="004B476E">
        <w:rPr>
          <w:vertAlign w:val="subscript"/>
        </w:rPr>
        <w:t>15</w:t>
      </w:r>
      <w:r w:rsidRPr="00073C41">
        <w:t xml:space="preserve"> Then the kings of the earth and the great ones and the generals and the rich and the powerful, and everyone, slave and free, hid themselves in the caves and among the rocks of the mountains, </w:t>
      </w:r>
      <w:r w:rsidRPr="004B476E">
        <w:rPr>
          <w:vertAlign w:val="subscript"/>
        </w:rPr>
        <w:t>16</w:t>
      </w:r>
      <w:r w:rsidRPr="00073C41">
        <w:t xml:space="preserve"> calling to the mountains and rocks, “Fall on us and hide us from the face of him who is seated on the throne, and from the wrath of the Lamb, </w:t>
      </w:r>
      <w:r w:rsidRPr="004B476E">
        <w:rPr>
          <w:vertAlign w:val="subscript"/>
        </w:rPr>
        <w:t>17</w:t>
      </w:r>
      <w:r w:rsidRPr="00073C41">
        <w:t xml:space="preserve"> for the great day of their wrath has come, and who can stand?”</w:t>
      </w:r>
      <w:r>
        <w:t xml:space="preserve"> (Rev. 6:14-17)</w:t>
      </w:r>
    </w:p>
    <w:p w14:paraId="52292E0D" w14:textId="50695F03" w:rsidR="004B476E" w:rsidRDefault="004B476E" w:rsidP="004B476E">
      <w:pPr>
        <w:pStyle w:val="MainText"/>
      </w:pPr>
      <w:r>
        <w:t>The Father and the Lamb, co-enthroned above the icy expanse of heaven,</w:t>
      </w:r>
      <w:r w:rsidR="0016649A">
        <w:rPr>
          <w:rStyle w:val="FootnoteReference"/>
        </w:rPr>
        <w:footnoteReference w:id="27"/>
      </w:r>
      <w:r>
        <w:t xml:space="preserve"> have now stripped </w:t>
      </w:r>
      <w:r w:rsidR="004E1710">
        <w:t xml:space="preserve">it </w:t>
      </w:r>
      <w:r>
        <w:t xml:space="preserve">away, and unrepentant sinners on earth </w:t>
      </w:r>
      <w:r w:rsidR="0010357C">
        <w:t>must</w:t>
      </w:r>
      <w:r>
        <w:t xml:space="preserve"> face </w:t>
      </w:r>
      <w:r w:rsidR="004E1710">
        <w:t>them directly</w:t>
      </w:r>
      <w:r>
        <w:t>. The seventh trumpet scene tells the same story:</w:t>
      </w:r>
    </w:p>
    <w:p w14:paraId="6E4AD9FC" w14:textId="7B58DF82" w:rsidR="004B476E" w:rsidRDefault="004B476E" w:rsidP="004B476E">
      <w:pPr>
        <w:pStyle w:val="indent"/>
      </w:pPr>
      <w:r w:rsidRPr="004B476E">
        <w:t>Then the seventh angel blew his trumpet, and there were loud voices in heaven, saying, “The kingdom of the world has become the kingdom of our Lord and of his Christ, and he shall reign forever and ever.”</w:t>
      </w:r>
      <w:r>
        <w:t xml:space="preserve"> (Rev. 11:15)</w:t>
      </w:r>
    </w:p>
    <w:p w14:paraId="1B4EB979" w14:textId="7A71776E" w:rsidR="004B476E" w:rsidRDefault="004B476E" w:rsidP="004B476E">
      <w:pPr>
        <w:pStyle w:val="MainText"/>
      </w:pPr>
      <w:r>
        <w:t xml:space="preserve">The ambiguity as to who “he” is in the last phrase here is </w:t>
      </w:r>
      <w:r w:rsidR="00556785">
        <w:t>unquestionably</w:t>
      </w:r>
      <w:r>
        <w:t xml:space="preserve"> intentional. They both reign, together, in absolute unity.</w:t>
      </w:r>
      <w:r w:rsidR="00556785">
        <w:t xml:space="preserve"> </w:t>
      </w:r>
      <w:r w:rsidR="00AF5C3B">
        <w:t>Readers</w:t>
      </w:r>
      <w:r w:rsidR="00556785">
        <w:t xml:space="preserve"> get the same effect</w:t>
      </w:r>
      <w:r w:rsidR="00E32D31" w:rsidRPr="00E32D31">
        <w:t xml:space="preserve"> </w:t>
      </w:r>
      <w:r w:rsidR="00E32D31">
        <w:t>in chapter 21</w:t>
      </w:r>
      <w:r w:rsidR="00556785">
        <w:t>:</w:t>
      </w:r>
    </w:p>
    <w:p w14:paraId="49E327BA" w14:textId="09F156CE" w:rsidR="00556785" w:rsidRDefault="00556785" w:rsidP="00556785">
      <w:pPr>
        <w:pStyle w:val="indent"/>
      </w:pPr>
      <w:r w:rsidRPr="00556785">
        <w:lastRenderedPageBreak/>
        <w:t xml:space="preserve">And he who was seated on the throne said, “Behold, I am making all things new” </w:t>
      </w:r>
      <w:r>
        <w:t>…</w:t>
      </w:r>
      <w:r w:rsidRPr="00556785">
        <w:t xml:space="preserve"> “It is done! I am the Alpha and the Omega, the </w:t>
      </w:r>
      <w:proofErr w:type="gramStart"/>
      <w:r w:rsidRPr="00556785">
        <w:t>beginning</w:t>
      </w:r>
      <w:proofErr w:type="gramEnd"/>
      <w:r w:rsidRPr="00556785">
        <w:t xml:space="preserve"> and the end. To the thirsty I will give from the spring of the water of life without payment.</w:t>
      </w:r>
      <w:r>
        <w:t xml:space="preserve"> (Rev. 21:5-6)</w:t>
      </w:r>
    </w:p>
    <w:p w14:paraId="18D524BE" w14:textId="03BA90CE" w:rsidR="00556785" w:rsidRDefault="00556785" w:rsidP="00556785">
      <w:pPr>
        <w:pStyle w:val="MainText"/>
      </w:pPr>
      <w:r>
        <w:t>God the Father appears to own the self-affirmation “</w:t>
      </w:r>
      <w:r w:rsidRPr="00556785">
        <w:t>I am the Alpha and the Omega</w:t>
      </w:r>
      <w:r>
        <w:t xml:space="preserve">” in Rev. 1:8, but so does Jesus in 1:17; the promise of the water of life to the thirsty recalls God’s promise in Isa. </w:t>
      </w:r>
      <w:r w:rsidR="00E679B0">
        <w:t xml:space="preserve">55:1 (cf. Jer. 2:13), but the readers have also been told in Rev. 7:17 that “the Lamb in the </w:t>
      </w:r>
      <w:r w:rsidR="002231BB">
        <w:t>midst</w:t>
      </w:r>
      <w:r w:rsidR="00E679B0">
        <w:t xml:space="preserve"> of the throne”</w:t>
      </w:r>
      <w:r w:rsidR="0019761E">
        <w:rPr>
          <w:rStyle w:val="FootnoteReference"/>
        </w:rPr>
        <w:footnoteReference w:id="28"/>
      </w:r>
      <w:r w:rsidR="00E679B0">
        <w:t xml:space="preserve"> (i.e. who is sitting on the throne with his Father) will lead the faithful to springs of living water</w:t>
      </w:r>
      <w:r w:rsidR="00AF5C3B">
        <w:t>, and John will see “</w:t>
      </w:r>
      <w:r w:rsidR="00AF5C3B" w:rsidRPr="00AF5C3B">
        <w:t>the river of the water of life, bright as crystal, flowing from the throne of God and of the Lamb</w:t>
      </w:r>
      <w:r w:rsidR="00AF5C3B">
        <w:t>” (22:1)</w:t>
      </w:r>
      <w:r w:rsidR="00E679B0">
        <w:t xml:space="preserve">. </w:t>
      </w:r>
      <w:r w:rsidR="00B871CB">
        <w:t>T</w:t>
      </w:r>
      <w:r w:rsidR="00E679B0">
        <w:t xml:space="preserve">he Father and the Lamb, together and inseparably, </w:t>
      </w:r>
      <w:r w:rsidR="002B5039">
        <w:t xml:space="preserve">are God, and </w:t>
      </w:r>
      <w:r w:rsidR="00B871CB">
        <w:t xml:space="preserve">can be </w:t>
      </w:r>
      <w:r w:rsidR="002B5039">
        <w:t xml:space="preserve">understood to be </w:t>
      </w:r>
      <w:r w:rsidR="00E679B0">
        <w:t xml:space="preserve">the </w:t>
      </w:r>
      <w:r w:rsidR="00E679B0">
        <w:rPr>
          <w:lang w:val="el-GR"/>
        </w:rPr>
        <w:t>φωστη</w:t>
      </w:r>
      <w:r w:rsidR="00E679B0" w:rsidRPr="00E679B0">
        <w:t>́</w:t>
      </w:r>
      <w:r w:rsidR="00E679B0">
        <w:rPr>
          <w:lang w:val="el-GR"/>
        </w:rPr>
        <w:t>ρ</w:t>
      </w:r>
      <w:r w:rsidR="00E679B0">
        <w:t xml:space="preserve"> of the New Jerusalem. </w:t>
      </w:r>
      <w:r w:rsidR="00E32D31">
        <w:t>In the new creation, t</w:t>
      </w:r>
      <w:r w:rsidR="00E679B0">
        <w:t xml:space="preserve">here </w:t>
      </w:r>
      <w:r w:rsidR="00E32D31">
        <w:t xml:space="preserve">will be </w:t>
      </w:r>
      <w:r w:rsidR="00E679B0">
        <w:t xml:space="preserve">one </w:t>
      </w:r>
      <w:r w:rsidR="00267215">
        <w:t xml:space="preserve">constant </w:t>
      </w:r>
      <w:r w:rsidR="00E679B0">
        <w:t>divine light that illuminates the whole of Mount Zion</w:t>
      </w:r>
      <w:r w:rsidR="00EE43F7">
        <w:t xml:space="preserve"> (21:9) and the New Jerusalem</w:t>
      </w:r>
      <w:r w:rsidR="00E679B0">
        <w:t xml:space="preserve">, to the point that the sun and moon </w:t>
      </w:r>
      <w:r w:rsidR="00E32D31">
        <w:t>will</w:t>
      </w:r>
      <w:r w:rsidR="00E679B0">
        <w:t xml:space="preserve"> no longer </w:t>
      </w:r>
      <w:r w:rsidR="00E32D31">
        <w:t xml:space="preserve">be </w:t>
      </w:r>
      <w:r w:rsidR="00E679B0">
        <w:t>necessary (21:23</w:t>
      </w:r>
      <w:r w:rsidR="00B46173">
        <w:t>; 22:5</w:t>
      </w:r>
      <w:r w:rsidR="00E679B0">
        <w:t xml:space="preserve">). John would no doubt say that this is why </w:t>
      </w:r>
      <w:r w:rsidR="00B46173">
        <w:t xml:space="preserve">Isaiah prophesies that </w:t>
      </w:r>
      <w:r w:rsidR="00E679B0">
        <w:t xml:space="preserve">the sun and moon will be embarrassed when </w:t>
      </w:r>
      <w:r w:rsidR="002231BB">
        <w:t>the One</w:t>
      </w:r>
      <w:r w:rsidR="00E679B0">
        <w:t xml:space="preserve"> Who Is comes to judge the world and to reign</w:t>
      </w:r>
      <w:r w:rsidR="00E32D31">
        <w:t xml:space="preserve"> in glory</w:t>
      </w:r>
      <w:r w:rsidR="00E679B0">
        <w:t>:</w:t>
      </w:r>
    </w:p>
    <w:p w14:paraId="6B6D5B2C" w14:textId="77777777" w:rsidR="00E679B0" w:rsidRDefault="00E679B0" w:rsidP="00E679B0">
      <w:pPr>
        <w:pStyle w:val="indentpoetry"/>
      </w:pPr>
      <w:r>
        <w:t>Then the moon will be confounded</w:t>
      </w:r>
    </w:p>
    <w:p w14:paraId="6246A5A4" w14:textId="6B0CF705" w:rsidR="00E679B0" w:rsidRDefault="00E679B0" w:rsidP="00E679B0">
      <w:pPr>
        <w:pStyle w:val="indentpoetry"/>
      </w:pPr>
      <w:r>
        <w:t xml:space="preserve">    and the sun ashamed,</w:t>
      </w:r>
    </w:p>
    <w:p w14:paraId="4B4D7E56" w14:textId="77777777" w:rsidR="00E679B0" w:rsidRDefault="00E679B0" w:rsidP="00E679B0">
      <w:pPr>
        <w:pStyle w:val="indentpoetry"/>
      </w:pPr>
      <w:r>
        <w:t xml:space="preserve">for the </w:t>
      </w:r>
      <w:r w:rsidRPr="00E679B0">
        <w:rPr>
          <w:smallCaps/>
        </w:rPr>
        <w:t>Lord</w:t>
      </w:r>
      <w:r>
        <w:t xml:space="preserve"> of hosts reigns</w:t>
      </w:r>
    </w:p>
    <w:p w14:paraId="76F48972" w14:textId="77777777" w:rsidR="00E679B0" w:rsidRDefault="00E679B0" w:rsidP="00E679B0">
      <w:pPr>
        <w:pStyle w:val="indentpoetry"/>
      </w:pPr>
      <w:r>
        <w:t xml:space="preserve">    on Mount Zion and in Jerusalem,</w:t>
      </w:r>
    </w:p>
    <w:p w14:paraId="35DCE34B" w14:textId="3453F308" w:rsidR="00E679B0" w:rsidRDefault="00E679B0" w:rsidP="00E679B0">
      <w:pPr>
        <w:pStyle w:val="indentpoetry"/>
      </w:pPr>
      <w:r>
        <w:t>and his glory will be before his elders. (Isa. 24:23)</w:t>
      </w:r>
    </w:p>
    <w:p w14:paraId="387D21AA" w14:textId="6FCED912" w:rsidR="00EE43F7" w:rsidRDefault="00EE43F7" w:rsidP="00E679B0">
      <w:pPr>
        <w:pStyle w:val="MainText"/>
      </w:pPr>
      <w:r>
        <w:t xml:space="preserve">Now let us consider the question of whether it would seem somehow </w:t>
      </w:r>
      <w:r w:rsidR="00B46173">
        <w:t>strange</w:t>
      </w:r>
      <w:r>
        <w:t xml:space="preserve"> for </w:t>
      </w:r>
      <w:r w:rsidR="002B5039">
        <w:t xml:space="preserve">God </w:t>
      </w:r>
      <w:r>
        <w:t xml:space="preserve">the Father to be compared to a gemstone. </w:t>
      </w:r>
      <w:r w:rsidR="00B871CB">
        <w:t>Compare these</w:t>
      </w:r>
      <w:r w:rsidR="00573AA7">
        <w:t xml:space="preserve"> descriptions</w:t>
      </w:r>
      <w:r>
        <w:t>:</w:t>
      </w:r>
    </w:p>
    <w:p w14:paraId="35597E95" w14:textId="3BB05960" w:rsidR="00EE43F7" w:rsidRDefault="00EE43F7" w:rsidP="00EE43F7">
      <w:pPr>
        <w:pStyle w:val="indent"/>
      </w:pPr>
      <w:proofErr w:type="spellStart"/>
      <w:r w:rsidRPr="00EE43F7">
        <w:t>εὐθέως</w:t>
      </w:r>
      <w:proofErr w:type="spellEnd"/>
      <w:r w:rsidRPr="00EE43F7">
        <w:t xml:space="preserve"> </w:t>
      </w:r>
      <w:proofErr w:type="spellStart"/>
      <w:r w:rsidRPr="00EE43F7">
        <w:t>ἐγενόμην</w:t>
      </w:r>
      <w:proofErr w:type="spellEnd"/>
      <w:r w:rsidRPr="00EE43F7">
        <w:t xml:space="preserve"> ἐν π</w:t>
      </w:r>
      <w:proofErr w:type="spellStart"/>
      <w:r w:rsidRPr="00EE43F7">
        <w:t>νεύμ</w:t>
      </w:r>
      <w:proofErr w:type="spellEnd"/>
      <w:r w:rsidRPr="00EE43F7">
        <w:t xml:space="preserve">ατι καὶ </w:t>
      </w:r>
      <w:proofErr w:type="spellStart"/>
      <w:r w:rsidRPr="00EE43F7">
        <w:t>ἰδοὺ</w:t>
      </w:r>
      <w:proofErr w:type="spellEnd"/>
      <w:r w:rsidRPr="00EE43F7">
        <w:t xml:space="preserve"> </w:t>
      </w:r>
      <w:proofErr w:type="spellStart"/>
      <w:r w:rsidRPr="00EE43F7">
        <w:t>θρόνος</w:t>
      </w:r>
      <w:proofErr w:type="spellEnd"/>
      <w:r w:rsidRPr="00EE43F7">
        <w:t xml:space="preserve"> </w:t>
      </w:r>
      <w:proofErr w:type="spellStart"/>
      <w:r w:rsidRPr="00EE43F7">
        <w:t>ἔκειτο</w:t>
      </w:r>
      <w:proofErr w:type="spellEnd"/>
      <w:r w:rsidRPr="00EE43F7">
        <w:t xml:space="preserve"> ἐν τῷ οὐρα</w:t>
      </w:r>
      <w:proofErr w:type="spellStart"/>
      <w:r w:rsidRPr="00EE43F7">
        <w:t>νῷ</w:t>
      </w:r>
      <w:proofErr w:type="spellEnd"/>
      <w:r w:rsidRPr="00EE43F7">
        <w:t xml:space="preserve"> καὶ ἐπὶ τὸν </w:t>
      </w:r>
      <w:proofErr w:type="spellStart"/>
      <w:r w:rsidRPr="00EE43F7">
        <w:t>θρόνον</w:t>
      </w:r>
      <w:proofErr w:type="spellEnd"/>
      <w:r w:rsidRPr="00EE43F7">
        <w:t xml:space="preserve"> κα</w:t>
      </w:r>
      <w:proofErr w:type="spellStart"/>
      <w:r w:rsidRPr="00EE43F7">
        <w:t>θήμενος</w:t>
      </w:r>
      <w:proofErr w:type="spellEnd"/>
      <w:r>
        <w:t xml:space="preserve">, </w:t>
      </w:r>
      <w:r w:rsidRPr="00EE43F7">
        <w:t xml:space="preserve">καὶ </w:t>
      </w:r>
      <w:r w:rsidRPr="00B45927">
        <w:rPr>
          <w:b/>
          <w:bCs/>
        </w:rPr>
        <w:t>ὁ κα</w:t>
      </w:r>
      <w:proofErr w:type="spellStart"/>
      <w:r w:rsidRPr="00B45927">
        <w:rPr>
          <w:b/>
          <w:bCs/>
        </w:rPr>
        <w:t>θήμενος</w:t>
      </w:r>
      <w:proofErr w:type="spellEnd"/>
      <w:r w:rsidRPr="00EE43F7">
        <w:t xml:space="preserve"> </w:t>
      </w:r>
      <w:proofErr w:type="spellStart"/>
      <w:r w:rsidRPr="00EE43F7">
        <w:rPr>
          <w:b/>
          <w:bCs/>
        </w:rPr>
        <w:t>ὅμοιος</w:t>
      </w:r>
      <w:proofErr w:type="spellEnd"/>
      <w:r w:rsidRPr="00EE43F7">
        <w:rPr>
          <w:b/>
          <w:bCs/>
        </w:rPr>
        <w:t xml:space="preserve"> </w:t>
      </w:r>
      <w:proofErr w:type="spellStart"/>
      <w:r w:rsidRPr="00EE43F7">
        <w:rPr>
          <w:b/>
          <w:bCs/>
        </w:rPr>
        <w:t>ὁράσει</w:t>
      </w:r>
      <w:proofErr w:type="spellEnd"/>
      <w:r w:rsidRPr="00EE43F7">
        <w:rPr>
          <w:b/>
          <w:bCs/>
        </w:rPr>
        <w:t xml:space="preserve"> </w:t>
      </w:r>
      <w:proofErr w:type="spellStart"/>
      <w:r w:rsidRPr="00EE43F7">
        <w:rPr>
          <w:b/>
          <w:bCs/>
        </w:rPr>
        <w:t>λίθῳ</w:t>
      </w:r>
      <w:proofErr w:type="spellEnd"/>
      <w:r w:rsidRPr="00EE43F7">
        <w:rPr>
          <w:b/>
          <w:bCs/>
        </w:rPr>
        <w:t xml:space="preserve"> </w:t>
      </w:r>
      <w:proofErr w:type="spellStart"/>
      <w:r w:rsidRPr="00EE43F7">
        <w:rPr>
          <w:b/>
          <w:bCs/>
        </w:rPr>
        <w:t>ἰάσ</w:t>
      </w:r>
      <w:proofErr w:type="spellEnd"/>
      <w:r w:rsidRPr="00EE43F7">
        <w:rPr>
          <w:b/>
          <w:bCs/>
        </w:rPr>
        <w:t>πιδι</w:t>
      </w:r>
      <w:r w:rsidRPr="00EE43F7">
        <w:t xml:space="preserve"> καὶ σα</w:t>
      </w:r>
      <w:proofErr w:type="spellStart"/>
      <w:r w:rsidRPr="00EE43F7">
        <w:t>ρδίῳ</w:t>
      </w:r>
      <w:proofErr w:type="spellEnd"/>
      <w:r w:rsidR="00267215">
        <w:t xml:space="preserve"> </w:t>
      </w:r>
      <w:r>
        <w:t>(4:2-3)</w:t>
      </w:r>
    </w:p>
    <w:p w14:paraId="5E54A67C" w14:textId="61415C57" w:rsidR="00E679B0" w:rsidRDefault="00EE43F7" w:rsidP="00EE43F7">
      <w:pPr>
        <w:pStyle w:val="indent"/>
      </w:pPr>
      <w:proofErr w:type="spellStart"/>
      <w:r w:rsidRPr="00EE43F7">
        <w:t>ἔχουσ</w:t>
      </w:r>
      <w:proofErr w:type="spellEnd"/>
      <w:r w:rsidRPr="00EE43F7">
        <w:t xml:space="preserve">αν τὴν δόξαν τοῦ </w:t>
      </w:r>
      <w:proofErr w:type="spellStart"/>
      <w:r w:rsidRPr="00EE43F7">
        <w:t>θεοῦ</w:t>
      </w:r>
      <w:proofErr w:type="spellEnd"/>
      <w:r w:rsidR="00B45927">
        <w:t>,</w:t>
      </w:r>
      <w:r w:rsidRPr="00EE43F7">
        <w:t xml:space="preserve"> </w:t>
      </w:r>
      <w:r w:rsidRPr="00267215">
        <w:rPr>
          <w:b/>
          <w:bCs/>
        </w:rPr>
        <w:t>ὁ φωστὴρ αὐτῆς</w:t>
      </w:r>
      <w:r w:rsidRPr="00EE43F7">
        <w:t xml:space="preserve"> </w:t>
      </w:r>
      <w:proofErr w:type="spellStart"/>
      <w:r w:rsidRPr="00EE43F7">
        <w:rPr>
          <w:b/>
          <w:bCs/>
        </w:rPr>
        <w:t>ὅμοιος</w:t>
      </w:r>
      <w:proofErr w:type="spellEnd"/>
      <w:r w:rsidRPr="00EE43F7">
        <w:rPr>
          <w:b/>
          <w:bCs/>
        </w:rPr>
        <w:t xml:space="preserve"> </w:t>
      </w:r>
      <w:proofErr w:type="spellStart"/>
      <w:r w:rsidRPr="00EE43F7">
        <w:rPr>
          <w:b/>
          <w:bCs/>
        </w:rPr>
        <w:t>λίθῳ</w:t>
      </w:r>
      <w:proofErr w:type="spellEnd"/>
      <w:r w:rsidRPr="00EE43F7">
        <w:rPr>
          <w:b/>
          <w:bCs/>
        </w:rPr>
        <w:t xml:space="preserve"> </w:t>
      </w:r>
      <w:proofErr w:type="spellStart"/>
      <w:r w:rsidRPr="00EE43F7">
        <w:rPr>
          <w:b/>
          <w:bCs/>
        </w:rPr>
        <w:t>τιμιωτάτῳ</w:t>
      </w:r>
      <w:proofErr w:type="spellEnd"/>
      <w:r w:rsidRPr="00EE43F7">
        <w:rPr>
          <w:b/>
          <w:bCs/>
        </w:rPr>
        <w:t xml:space="preserve"> </w:t>
      </w:r>
      <w:proofErr w:type="spellStart"/>
      <w:r w:rsidRPr="00EE43F7">
        <w:rPr>
          <w:b/>
          <w:bCs/>
        </w:rPr>
        <w:t>ὡς</w:t>
      </w:r>
      <w:proofErr w:type="spellEnd"/>
      <w:r w:rsidRPr="00EE43F7">
        <w:rPr>
          <w:b/>
          <w:bCs/>
        </w:rPr>
        <w:t xml:space="preserve"> </w:t>
      </w:r>
      <w:proofErr w:type="spellStart"/>
      <w:r w:rsidRPr="00EE43F7">
        <w:rPr>
          <w:b/>
          <w:bCs/>
        </w:rPr>
        <w:t>λίθῳ</w:t>
      </w:r>
      <w:proofErr w:type="spellEnd"/>
      <w:r w:rsidRPr="00EE43F7">
        <w:rPr>
          <w:b/>
          <w:bCs/>
        </w:rPr>
        <w:t xml:space="preserve"> </w:t>
      </w:r>
      <w:proofErr w:type="spellStart"/>
      <w:r w:rsidRPr="00EE43F7">
        <w:rPr>
          <w:b/>
          <w:bCs/>
        </w:rPr>
        <w:t>ἰάσ</w:t>
      </w:r>
      <w:proofErr w:type="spellEnd"/>
      <w:r w:rsidRPr="00EE43F7">
        <w:rPr>
          <w:b/>
          <w:bCs/>
        </w:rPr>
        <w:t>πιδι</w:t>
      </w:r>
      <w:r w:rsidRPr="00EE43F7">
        <w:t xml:space="preserve"> </w:t>
      </w:r>
      <w:proofErr w:type="spellStart"/>
      <w:r w:rsidRPr="00EE43F7">
        <w:t>κρυστ</w:t>
      </w:r>
      <w:proofErr w:type="spellEnd"/>
      <w:r w:rsidRPr="00EE43F7">
        <w:t>αλλίζοντι</w:t>
      </w:r>
      <w:r>
        <w:t xml:space="preserve"> </w:t>
      </w:r>
      <w:r w:rsidR="00B45927">
        <w:t>(21:11)</w:t>
      </w:r>
    </w:p>
    <w:p w14:paraId="5298C907" w14:textId="132D7937" w:rsidR="00086E1B" w:rsidRDefault="006C2587" w:rsidP="002B5039">
      <w:pPr>
        <w:pStyle w:val="MainText"/>
      </w:pPr>
      <w:r>
        <w:t xml:space="preserve">John </w:t>
      </w:r>
      <w:r w:rsidR="002222B0">
        <w:t>likes to bring</w:t>
      </w:r>
      <w:r>
        <w:t xml:space="preserve"> characters back into his narrative </w:t>
      </w:r>
      <w:r w:rsidR="00FF34FF">
        <w:t xml:space="preserve">by </w:t>
      </w:r>
      <w:r w:rsidR="00B871CB">
        <w:t>referring</w:t>
      </w:r>
      <w:r w:rsidR="00FF34FF">
        <w:t xml:space="preserve"> to </w:t>
      </w:r>
      <w:r w:rsidR="002222B0">
        <w:t xml:space="preserve">descriptive elements </w:t>
      </w:r>
      <w:r w:rsidR="00B871CB">
        <w:t xml:space="preserve">that have already been </w:t>
      </w:r>
      <w:r w:rsidR="002222B0">
        <w:t>associated with them</w:t>
      </w:r>
      <w:r w:rsidR="00FF34FF">
        <w:t>,</w:t>
      </w:r>
      <w:r w:rsidR="00FF34FF">
        <w:rPr>
          <w:rStyle w:val="FootnoteReference"/>
        </w:rPr>
        <w:footnoteReference w:id="29"/>
      </w:r>
      <w:r w:rsidR="00FF34FF">
        <w:t xml:space="preserve"> and this appears to </w:t>
      </w:r>
      <w:r w:rsidR="002222B0">
        <w:t>be a perfect example</w:t>
      </w:r>
      <w:r w:rsidR="00FF34FF">
        <w:t xml:space="preserve"> of that.</w:t>
      </w:r>
      <w:r w:rsidR="002222B0">
        <w:t xml:space="preserve"> </w:t>
      </w:r>
      <w:r w:rsidR="000A3816">
        <w:t xml:space="preserve">If it be objected that there is something </w:t>
      </w:r>
      <w:r w:rsidR="00B871CB">
        <w:t>weird</w:t>
      </w:r>
      <w:r w:rsidR="000A3816">
        <w:t xml:space="preserve"> about the idea that John might have thought God looked like a mineral</w:t>
      </w:r>
      <w:r w:rsidR="00B871CB">
        <w:t xml:space="preserve"> crystal</w:t>
      </w:r>
      <w:r w:rsidR="000A3816">
        <w:t xml:space="preserve">, then a consideration of how he understands his visions might help clear that up. </w:t>
      </w:r>
      <w:r w:rsidR="00DC33C7">
        <w:t>A sensitive reading of Revelation reveals the fact that John does not take literally the things he sees</w:t>
      </w:r>
      <w:r w:rsidR="00573AA7">
        <w:t xml:space="preserve"> in his visions</w:t>
      </w:r>
      <w:r w:rsidR="00DC33C7">
        <w:t>. He understands that realities about Go</w:t>
      </w:r>
      <w:r w:rsidR="00573AA7">
        <w:t>d’s character</w:t>
      </w:r>
      <w:r w:rsidR="00DC33C7">
        <w:t xml:space="preserve"> and God’s relationship with the faithful and the world are </w:t>
      </w:r>
      <w:r w:rsidR="00B871CB">
        <w:t xml:space="preserve">being </w:t>
      </w:r>
      <w:r w:rsidR="00DC33C7">
        <w:t xml:space="preserve">conveyed to his imagination by an angelic messenger (Rev. 1:1; 22:6, 8, 16). Even Jesus himself is represented to </w:t>
      </w:r>
      <w:r w:rsidR="00E32C25">
        <w:t>John’s</w:t>
      </w:r>
      <w:r w:rsidR="00DC33C7">
        <w:t xml:space="preserve"> imagination by an angel</w:t>
      </w:r>
      <w:r w:rsidR="00573AA7">
        <w:t>, so that w</w:t>
      </w:r>
      <w:r w:rsidR="00DC33C7">
        <w:t xml:space="preserve">hen the vision is over, the angel stops representing Jesus to him (cf. Rev. 19:9-10; 22:8-9). </w:t>
      </w:r>
      <w:r w:rsidR="00B871CB">
        <w:t>John</w:t>
      </w:r>
      <w:r w:rsidR="000A3816">
        <w:t xml:space="preserve"> knows well that the </w:t>
      </w:r>
      <w:r w:rsidR="000A3816">
        <w:lastRenderedPageBreak/>
        <w:t xml:space="preserve">fantastic things that are presented to his senses are not real, but symbolic. He knows, for example, that Jesus does not literally have eyes made of flame or a sword </w:t>
      </w:r>
      <w:r w:rsidR="00B871CB">
        <w:t>protruding from</w:t>
      </w:r>
      <w:r w:rsidR="000A3816">
        <w:t xml:space="preserve"> his mouth (1:14-16). </w:t>
      </w:r>
      <w:r w:rsidR="00BC61EE">
        <w:t>Thus</w:t>
      </w:r>
      <w:r w:rsidR="00DC33C7">
        <w:t xml:space="preserve"> it seems entirely </w:t>
      </w:r>
      <w:r w:rsidR="0016649A">
        <w:t>reasonable</w:t>
      </w:r>
      <w:r w:rsidR="00DC33C7">
        <w:t xml:space="preserve"> to </w:t>
      </w:r>
      <w:r w:rsidR="000A3816">
        <w:t>assume that</w:t>
      </w:r>
      <w:r w:rsidR="00DC33C7">
        <w:t xml:space="preserve"> John was </w:t>
      </w:r>
      <w:r w:rsidR="000A3816">
        <w:t xml:space="preserve">aware he was being </w:t>
      </w:r>
      <w:r w:rsidR="00DC33C7">
        <w:t>shown a paradoxical vision of the Enthroned One</w:t>
      </w:r>
      <w:r w:rsidR="00E32C25">
        <w:t xml:space="preserve"> when he was invited to heaven in his visionary state</w:t>
      </w:r>
      <w:r w:rsidR="00DC33C7">
        <w:t xml:space="preserve">. </w:t>
      </w:r>
      <w:r w:rsidR="00E32C25">
        <w:t xml:space="preserve">The image of a humanoid figure on a throne in Rev. 4:2-3 conveyed the concept of God’s rulership and authority as Creator, yet </w:t>
      </w:r>
      <w:r w:rsidR="00573AA7">
        <w:t xml:space="preserve">John also experienced </w:t>
      </w:r>
      <w:r w:rsidR="00E32C25">
        <w:t xml:space="preserve">something like a crystal flashing forth </w:t>
      </w:r>
      <w:r w:rsidR="000A3816">
        <w:t>intense</w:t>
      </w:r>
      <w:r w:rsidR="00E32C25">
        <w:t xml:space="preserve"> light and emitting </w:t>
      </w:r>
      <w:r w:rsidR="00E42B30">
        <w:t>awesome</w:t>
      </w:r>
      <w:r w:rsidR="00E32C25">
        <w:t xml:space="preserve"> and incomprehensible noises like thunder (4:5)</w:t>
      </w:r>
      <w:r w:rsidR="00BC61EE">
        <w:t xml:space="preserve">. This immediately </w:t>
      </w:r>
      <w:r w:rsidR="00E32C25">
        <w:t>disrupted any literal</w:t>
      </w:r>
      <w:r w:rsidR="000A3816">
        <w:t xml:space="preserve"> understanding</w:t>
      </w:r>
      <w:r w:rsidR="00E32C25">
        <w:t xml:space="preserve"> of th</w:t>
      </w:r>
      <w:r w:rsidR="00573AA7">
        <w:t>e</w:t>
      </w:r>
      <w:r w:rsidR="00E32C25">
        <w:t xml:space="preserve"> anthropomorphic image</w:t>
      </w:r>
      <w:r w:rsidR="00573AA7">
        <w:t xml:space="preserve"> and evoked</w:t>
      </w:r>
      <w:r w:rsidR="00E32C25">
        <w:t xml:space="preserve"> </w:t>
      </w:r>
      <w:r w:rsidR="00E42B30">
        <w:t xml:space="preserve">the </w:t>
      </w:r>
      <w:r w:rsidR="00E32C25">
        <w:t xml:space="preserve">impenetrable mystery, power, and </w:t>
      </w:r>
      <w:r w:rsidR="00BC61EE">
        <w:t>uniqueness</w:t>
      </w:r>
      <w:r w:rsidR="00E32C25">
        <w:t>—</w:t>
      </w:r>
      <w:r w:rsidR="00E42B30">
        <w:t>the</w:t>
      </w:r>
      <w:r w:rsidR="00E32C25">
        <w:t xml:space="preserve"> irreducible and incomprehensible transcendence</w:t>
      </w:r>
      <w:r w:rsidR="00573AA7">
        <w:t>—</w:t>
      </w:r>
      <w:r w:rsidR="00E42B30">
        <w:t xml:space="preserve">of the </w:t>
      </w:r>
      <w:r w:rsidR="00E42B30">
        <w:rPr>
          <w:lang w:val="el-GR"/>
        </w:rPr>
        <w:t>παντοκρα</w:t>
      </w:r>
      <w:r w:rsidR="00E42B30" w:rsidRPr="00E42B30">
        <w:t>́</w:t>
      </w:r>
      <w:r w:rsidR="00E42B30">
        <w:rPr>
          <w:lang w:val="el-GR"/>
        </w:rPr>
        <w:t>τωρ</w:t>
      </w:r>
      <w:r w:rsidR="00E42B30" w:rsidRPr="00E42B30">
        <w:t xml:space="preserve">, </w:t>
      </w:r>
      <w:r w:rsidR="00E42B30">
        <w:t>the Almighty</w:t>
      </w:r>
      <w:r w:rsidR="00E32C25">
        <w:t>.</w:t>
      </w:r>
      <w:r w:rsidR="00E42B30">
        <w:t xml:space="preserve"> </w:t>
      </w:r>
    </w:p>
    <w:p w14:paraId="7726D58D" w14:textId="6E0E215D" w:rsidR="002B5039" w:rsidRDefault="002B5039" w:rsidP="002B5039">
      <w:pPr>
        <w:pStyle w:val="MainText"/>
      </w:pPr>
      <w:r>
        <w:t xml:space="preserve">Such is the case for </w:t>
      </w:r>
      <w:r w:rsidR="009A131A">
        <w:t>the Enthroned One</w:t>
      </w:r>
      <w:r>
        <w:t xml:space="preserve">—either the Father or the Father and the Lamb in inseparable unity on their throne—being the </w:t>
      </w:r>
      <w:r>
        <w:rPr>
          <w:lang w:val="el-GR"/>
        </w:rPr>
        <w:t>φωστη</w:t>
      </w:r>
      <w:r w:rsidRPr="002B5039">
        <w:t>́</w:t>
      </w:r>
      <w:r>
        <w:rPr>
          <w:lang w:val="el-GR"/>
        </w:rPr>
        <w:t>ρ</w:t>
      </w:r>
      <w:r>
        <w:t xml:space="preserve"> that illuminates the New Jerusalem. The lexical case is solid, the literary case is solid, and the supposed drawback </w:t>
      </w:r>
      <w:r w:rsidR="00B46173">
        <w:t>dissolves upon reflection</w:t>
      </w:r>
      <w:r>
        <w:t xml:space="preserve">. Now I want to </w:t>
      </w:r>
      <w:r w:rsidR="0094587A">
        <w:t>make</w:t>
      </w:r>
      <w:r>
        <w:t xml:space="preserve"> some</w:t>
      </w:r>
      <w:r w:rsidR="00272F00">
        <w:t xml:space="preserve"> </w:t>
      </w:r>
      <w:r w:rsidR="0094587A">
        <w:t xml:space="preserve">exegetical </w:t>
      </w:r>
      <w:r w:rsidR="00B01220">
        <w:t>expansions on</w:t>
      </w:r>
      <w:r>
        <w:t xml:space="preserve"> this conclusion.</w:t>
      </w:r>
    </w:p>
    <w:p w14:paraId="599BDCCE" w14:textId="00A75B92" w:rsidR="00FC429C" w:rsidRDefault="00FC429C" w:rsidP="00FC429C">
      <w:pPr>
        <w:pStyle w:val="MainHeading"/>
      </w:pPr>
      <w:r>
        <w:t xml:space="preserve">The Throne, </w:t>
      </w:r>
      <w:r w:rsidR="00CD5507">
        <w:t xml:space="preserve">the Tent, the </w:t>
      </w:r>
      <w:r w:rsidR="00BB4225">
        <w:t>Temple</w:t>
      </w:r>
      <w:r w:rsidR="00CD5507">
        <w:t xml:space="preserve">, </w:t>
      </w:r>
      <w:r>
        <w:t>the Light, and the New Jerusalem</w:t>
      </w:r>
    </w:p>
    <w:p w14:paraId="4C05CB3C" w14:textId="4E39E1F1" w:rsidR="005347B0" w:rsidRDefault="005347B0" w:rsidP="002B5039">
      <w:pPr>
        <w:pStyle w:val="MainText"/>
      </w:pPr>
      <w:r>
        <w:t xml:space="preserve">The first point to make is that the combined imagery of the New Jerusalem “having the glory of God” and having the Enthroned One as her </w:t>
      </w:r>
      <w:r>
        <w:rPr>
          <w:lang w:val="el-GR"/>
        </w:rPr>
        <w:t>φωστη</w:t>
      </w:r>
      <w:r w:rsidRPr="005347B0">
        <w:t>́</w:t>
      </w:r>
      <w:r>
        <w:rPr>
          <w:lang w:val="el-GR"/>
        </w:rPr>
        <w:t>ρ</w:t>
      </w:r>
      <w:r>
        <w:t xml:space="preserve"> evokes several </w:t>
      </w:r>
      <w:r w:rsidR="002231BB">
        <w:t xml:space="preserve">related </w:t>
      </w:r>
      <w:r>
        <w:t>imageries in Revelation and the prophets</w:t>
      </w:r>
      <w:r w:rsidR="00B01220">
        <w:t xml:space="preserve"> to which </w:t>
      </w:r>
      <w:r w:rsidR="002231BB">
        <w:t>John</w:t>
      </w:r>
      <w:r w:rsidR="00B01220">
        <w:t xml:space="preserve"> regularly alludes</w:t>
      </w:r>
      <w:r>
        <w:t>. For example,</w:t>
      </w:r>
    </w:p>
    <w:p w14:paraId="46363A8A" w14:textId="083C9AA9" w:rsidR="005347B0" w:rsidRDefault="005347B0" w:rsidP="00FC429C">
      <w:pPr>
        <w:pStyle w:val="indent"/>
      </w:pPr>
      <w:r w:rsidRPr="00FC429C">
        <w:rPr>
          <w:vertAlign w:val="subscript"/>
        </w:rPr>
        <w:t>15</w:t>
      </w:r>
      <w:r w:rsidRPr="005347B0">
        <w:t xml:space="preserve"> Therefore they are before the throne of God, and serve him day and night in his temple; and he who sits on the throne will shelter them with his presence</w:t>
      </w:r>
      <w:r w:rsidR="00FC429C">
        <w:t xml:space="preserve"> (</w:t>
      </w:r>
      <w:r w:rsidR="00816931">
        <w:t xml:space="preserve">lit. “tent over them,” </w:t>
      </w:r>
      <w:proofErr w:type="spellStart"/>
      <w:r w:rsidR="00FC429C" w:rsidRPr="00FC429C">
        <w:t>σκηνώσει</w:t>
      </w:r>
      <w:proofErr w:type="spellEnd"/>
      <w:r w:rsidR="00FC429C" w:rsidRPr="00FC429C">
        <w:t xml:space="preserve"> ἐπ᾽ α</w:t>
      </w:r>
      <w:proofErr w:type="spellStart"/>
      <w:r w:rsidR="00FC429C" w:rsidRPr="00FC429C">
        <w:t>ὐτούς</w:t>
      </w:r>
      <w:proofErr w:type="spellEnd"/>
      <w:r w:rsidR="00FC429C">
        <w:t>).</w:t>
      </w:r>
      <w:r w:rsidRPr="005347B0">
        <w:t xml:space="preserve"> </w:t>
      </w:r>
      <w:r w:rsidRPr="00FC429C">
        <w:rPr>
          <w:vertAlign w:val="subscript"/>
        </w:rPr>
        <w:t>16</w:t>
      </w:r>
      <w:r w:rsidR="00FC429C">
        <w:t> </w:t>
      </w:r>
      <w:r w:rsidRPr="005347B0">
        <w:t xml:space="preserve">They shall hunger no more, neither thirst anymore; the sun shall not strike them, nor any scorching heat. </w:t>
      </w:r>
      <w:r w:rsidRPr="00FC429C">
        <w:rPr>
          <w:vertAlign w:val="subscript"/>
        </w:rPr>
        <w:t>17</w:t>
      </w:r>
      <w:r w:rsidR="00FC429C">
        <w:t> </w:t>
      </w:r>
      <w:r w:rsidRPr="005347B0">
        <w:t xml:space="preserve">For the Lamb </w:t>
      </w:r>
      <w:proofErr w:type="gramStart"/>
      <w:r w:rsidRPr="005347B0">
        <w:t>in the midst of</w:t>
      </w:r>
      <w:proofErr w:type="gramEnd"/>
      <w:r w:rsidRPr="005347B0">
        <w:t xml:space="preserve"> the throne will be their shepherd, and he will guide them to springs of living water, and God will wipe away every tear from their eyes</w:t>
      </w:r>
      <w:r>
        <w:t>. (Rev. 7:15-17)</w:t>
      </w:r>
    </w:p>
    <w:p w14:paraId="3E5B820D" w14:textId="52D83AE4" w:rsidR="005347B0" w:rsidRDefault="005347B0" w:rsidP="000847B5">
      <w:pPr>
        <w:pStyle w:val="indent"/>
      </w:pPr>
      <w:r w:rsidRPr="005347B0">
        <w:rPr>
          <w:vertAlign w:val="subscript"/>
        </w:rPr>
        <w:t>2</w:t>
      </w:r>
      <w:r w:rsidRPr="005347B0">
        <w:t xml:space="preserve"> In that day the branch of the </w:t>
      </w:r>
      <w:r w:rsidRPr="005347B0">
        <w:rPr>
          <w:smallCaps/>
        </w:rPr>
        <w:t>Lord</w:t>
      </w:r>
      <w:r>
        <w:t xml:space="preserve"> </w:t>
      </w:r>
      <w:r w:rsidRPr="005347B0">
        <w:t xml:space="preserve">shall be beautiful and glorious... </w:t>
      </w:r>
      <w:r w:rsidRPr="005347B0">
        <w:rPr>
          <w:vertAlign w:val="subscript"/>
        </w:rPr>
        <w:t>5</w:t>
      </w:r>
      <w:r w:rsidRPr="005347B0">
        <w:t xml:space="preserve"> Then the </w:t>
      </w:r>
      <w:r w:rsidRPr="005347B0">
        <w:rPr>
          <w:smallCaps/>
        </w:rPr>
        <w:t>Lord</w:t>
      </w:r>
      <w:r>
        <w:t xml:space="preserve"> </w:t>
      </w:r>
      <w:r w:rsidRPr="005347B0">
        <w:t>will create over the whole site of Mount Zion and over her assemblies a cloud by day, and smoke and the shining of a flaming fire by night; for over all the glory there will be a canopy</w:t>
      </w:r>
      <w:r w:rsidR="00FC429C">
        <w:t xml:space="preserve"> (</w:t>
      </w:r>
      <w:proofErr w:type="spellStart"/>
      <w:r w:rsidR="00FC429C" w:rsidRPr="00FC429C">
        <w:rPr>
          <w:i/>
          <w:iCs/>
        </w:rPr>
        <w:t>ḥuppāh</w:t>
      </w:r>
      <w:proofErr w:type="spellEnd"/>
      <w:r w:rsidR="00FC429C">
        <w:t>)</w:t>
      </w:r>
      <w:r w:rsidRPr="005347B0">
        <w:t xml:space="preserve">. </w:t>
      </w:r>
      <w:r w:rsidRPr="005347B0">
        <w:rPr>
          <w:vertAlign w:val="subscript"/>
        </w:rPr>
        <w:t>6</w:t>
      </w:r>
      <w:r w:rsidRPr="005347B0">
        <w:t xml:space="preserve"> There will be a booth </w:t>
      </w:r>
      <w:r w:rsidR="00FC429C">
        <w:t>(</w:t>
      </w:r>
      <w:proofErr w:type="spellStart"/>
      <w:r w:rsidR="00FC429C">
        <w:rPr>
          <w:i/>
          <w:iCs/>
        </w:rPr>
        <w:t>sukkāh</w:t>
      </w:r>
      <w:proofErr w:type="spellEnd"/>
      <w:r w:rsidR="00FC429C">
        <w:t xml:space="preserve">) </w:t>
      </w:r>
      <w:r w:rsidRPr="005347B0">
        <w:t>for shade by day from the heat, and for a refuge</w:t>
      </w:r>
      <w:r w:rsidR="00CD36BB">
        <w:t xml:space="preserve"> </w:t>
      </w:r>
      <w:r w:rsidRPr="005347B0">
        <w:t>and a shelter</w:t>
      </w:r>
      <w:r w:rsidR="00CD36BB">
        <w:t xml:space="preserve"> </w:t>
      </w:r>
      <w:r w:rsidRPr="005347B0">
        <w:t>from the storm</w:t>
      </w:r>
      <w:r w:rsidR="00CD36BB">
        <w:t xml:space="preserve"> (</w:t>
      </w:r>
      <w:proofErr w:type="spellStart"/>
      <w:r w:rsidR="000847B5">
        <w:rPr>
          <w:i/>
          <w:iCs/>
        </w:rPr>
        <w:t>û</w:t>
      </w:r>
      <w:r w:rsidR="00CD36BB">
        <w:rPr>
          <w:i/>
          <w:iCs/>
        </w:rPr>
        <w:t>ləmaḥăseh</w:t>
      </w:r>
      <w:proofErr w:type="spellEnd"/>
      <w:r w:rsidR="00CD36BB" w:rsidRPr="00CD36BB">
        <w:rPr>
          <w:i/>
          <w:iCs/>
        </w:rPr>
        <w:t xml:space="preserve"> </w:t>
      </w:r>
      <w:proofErr w:type="spellStart"/>
      <w:r w:rsidR="00516063">
        <w:rPr>
          <w:i/>
          <w:iCs/>
        </w:rPr>
        <w:t>ûlə</w:t>
      </w:r>
      <w:r w:rsidR="00CD36BB" w:rsidRPr="00CD36BB">
        <w:rPr>
          <w:i/>
          <w:iCs/>
        </w:rPr>
        <w:t>mistôr</w:t>
      </w:r>
      <w:proofErr w:type="spellEnd"/>
      <w:r w:rsidR="00CD36BB">
        <w:rPr>
          <w:i/>
          <w:iCs/>
        </w:rPr>
        <w:t xml:space="preserve"> </w:t>
      </w:r>
      <w:proofErr w:type="spellStart"/>
      <w:proofErr w:type="gramStart"/>
      <w:r w:rsidR="00CD36BB">
        <w:rPr>
          <w:i/>
          <w:iCs/>
        </w:rPr>
        <w:t>mizzerem</w:t>
      </w:r>
      <w:proofErr w:type="spellEnd"/>
      <w:r w:rsidR="00CD36BB">
        <w:t>)…</w:t>
      </w:r>
      <w:proofErr w:type="gramEnd"/>
      <w:r>
        <w:t>(Isa. 4:2, 5-6)</w:t>
      </w:r>
    </w:p>
    <w:p w14:paraId="16C97F54" w14:textId="5F53BB35" w:rsidR="00CD36BB" w:rsidRDefault="0073086B" w:rsidP="00FC429C">
      <w:pPr>
        <w:pStyle w:val="MainText"/>
        <w:rPr>
          <w:lang w:bidi="he-IL"/>
        </w:rPr>
      </w:pPr>
      <w:r>
        <w:rPr>
          <w:lang w:bidi="he-IL"/>
        </w:rPr>
        <w:t xml:space="preserve">God’s glory itself is imagined as a protective shroud or shelter. </w:t>
      </w:r>
      <w:r w:rsidR="00CD5507">
        <w:rPr>
          <w:lang w:bidi="he-IL"/>
        </w:rPr>
        <w:t>T</w:t>
      </w:r>
      <w:r w:rsidR="000847B5">
        <w:rPr>
          <w:lang w:bidi="he-IL"/>
        </w:rPr>
        <w:t xml:space="preserve">his phraseology is reprised in Isaiah 25, as </w:t>
      </w:r>
      <w:r w:rsidR="00AC7230">
        <w:rPr>
          <w:lang w:bidi="he-IL"/>
        </w:rPr>
        <w:t>the prophet</w:t>
      </w:r>
      <w:r w:rsidR="000847B5">
        <w:rPr>
          <w:lang w:bidi="he-IL"/>
        </w:rPr>
        <w:t xml:space="preserve"> praises God in response to the promise in Isa. 24:21-23 that God is going to remove the wicked from the earth and reign in glory on Zion:</w:t>
      </w:r>
    </w:p>
    <w:p w14:paraId="72DFC5BA" w14:textId="3E4DE300" w:rsidR="000847B5" w:rsidRDefault="000847B5" w:rsidP="000847B5">
      <w:pPr>
        <w:pStyle w:val="indentpoetry"/>
      </w:pPr>
      <w:r>
        <w:t xml:space="preserve">O </w:t>
      </w:r>
      <w:r w:rsidRPr="000847B5">
        <w:rPr>
          <w:smallCaps/>
        </w:rPr>
        <w:t>Lord</w:t>
      </w:r>
      <w:r>
        <w:t>, you are my God;</w:t>
      </w:r>
    </w:p>
    <w:p w14:paraId="2B35E0E5" w14:textId="0DB15DE5" w:rsidR="000847B5" w:rsidRDefault="000847B5" w:rsidP="000847B5">
      <w:pPr>
        <w:pStyle w:val="indentpoetry"/>
      </w:pPr>
      <w:r>
        <w:t>I will exalt you; I will praise your name,</w:t>
      </w:r>
    </w:p>
    <w:p w14:paraId="5573A7E3" w14:textId="1CF56081" w:rsidR="000847B5" w:rsidRDefault="000847B5" w:rsidP="000847B5">
      <w:pPr>
        <w:pStyle w:val="indentpoetry"/>
      </w:pPr>
      <w:r>
        <w:t>…</w:t>
      </w:r>
    </w:p>
    <w:p w14:paraId="34B8DF5B" w14:textId="77777777" w:rsidR="000847B5" w:rsidRDefault="000847B5" w:rsidP="000847B5">
      <w:pPr>
        <w:pStyle w:val="indentpoetry"/>
      </w:pPr>
      <w:r>
        <w:t>For you have been a stronghold to the poor,</w:t>
      </w:r>
    </w:p>
    <w:p w14:paraId="335D7FAD" w14:textId="77777777" w:rsidR="000847B5" w:rsidRDefault="000847B5" w:rsidP="000847B5">
      <w:pPr>
        <w:pStyle w:val="indentpoetry"/>
      </w:pPr>
      <w:r>
        <w:t>a stronghold to the needy in his distress,</w:t>
      </w:r>
    </w:p>
    <w:p w14:paraId="24F7CC9E" w14:textId="2C661C57" w:rsidR="000847B5" w:rsidRDefault="000847B5" w:rsidP="000847B5">
      <w:pPr>
        <w:pStyle w:val="indentpoetry"/>
      </w:pPr>
      <w:r>
        <w:lastRenderedPageBreak/>
        <w:t xml:space="preserve">a shelter from the storm </w:t>
      </w:r>
      <w:r w:rsidR="00516063">
        <w:t>(</w:t>
      </w:r>
      <w:proofErr w:type="spellStart"/>
      <w:r w:rsidR="00516063">
        <w:rPr>
          <w:i/>
          <w:iCs/>
        </w:rPr>
        <w:t>maḥăseh</w:t>
      </w:r>
      <w:proofErr w:type="spellEnd"/>
      <w:r w:rsidR="00516063" w:rsidRPr="00CD36BB">
        <w:rPr>
          <w:i/>
          <w:iCs/>
        </w:rPr>
        <w:t xml:space="preserve"> </w:t>
      </w:r>
      <w:proofErr w:type="spellStart"/>
      <w:r w:rsidR="00516063" w:rsidRPr="00CD36BB">
        <w:rPr>
          <w:i/>
          <w:iCs/>
        </w:rPr>
        <w:t>m</w:t>
      </w:r>
      <w:r w:rsidR="00516063">
        <w:rPr>
          <w:i/>
          <w:iCs/>
        </w:rPr>
        <w:t>izzerem</w:t>
      </w:r>
      <w:proofErr w:type="spellEnd"/>
      <w:r w:rsidR="00516063">
        <w:t xml:space="preserve">) </w:t>
      </w:r>
      <w:r>
        <w:t>and a shade from the heat;</w:t>
      </w:r>
    </w:p>
    <w:p w14:paraId="3F5A9667" w14:textId="1402D847" w:rsidR="000847B5" w:rsidRDefault="000847B5" w:rsidP="00516063">
      <w:pPr>
        <w:pStyle w:val="indentpoetry"/>
        <w:spacing w:before="240"/>
      </w:pPr>
      <w:r>
        <w:t xml:space="preserve">for the breath of the ruthless is like a storm </w:t>
      </w:r>
      <w:r w:rsidR="00516063">
        <w:t>(</w:t>
      </w:r>
      <w:proofErr w:type="spellStart"/>
      <w:r w:rsidR="00516063">
        <w:rPr>
          <w:i/>
          <w:iCs/>
        </w:rPr>
        <w:t>kəzerem</w:t>
      </w:r>
      <w:proofErr w:type="spellEnd"/>
      <w:r w:rsidR="00516063" w:rsidRPr="00516063">
        <w:t xml:space="preserve">) </w:t>
      </w:r>
      <w:r>
        <w:t>against a wall…</w:t>
      </w:r>
      <w:r w:rsidR="00AC7230">
        <w:t xml:space="preserve"> (Isa.</w:t>
      </w:r>
      <w:r w:rsidR="00B25EA3">
        <w:t> </w:t>
      </w:r>
      <w:r w:rsidR="00AC7230">
        <w:t>25:1,</w:t>
      </w:r>
      <w:r w:rsidR="00B25EA3">
        <w:t> </w:t>
      </w:r>
      <w:r w:rsidR="00AC7230">
        <w:t>4)</w:t>
      </w:r>
    </w:p>
    <w:p w14:paraId="19FCBD5E" w14:textId="67EE7430" w:rsidR="000847B5" w:rsidRDefault="00516063" w:rsidP="000847B5">
      <w:pPr>
        <w:pStyle w:val="MainText"/>
      </w:pPr>
      <w:r>
        <w:t>This tells us that Isaiah understands “the storm” from which God’s protective presence will shelter the faithful in the glorious kingdom is the attacks of the wicked.</w:t>
      </w:r>
      <w:r w:rsidR="00AC7230">
        <w:t xml:space="preserve"> This idea will be elaborated after </w:t>
      </w:r>
      <w:r w:rsidR="002231BB">
        <w:t>Isaiah describes the</w:t>
      </w:r>
      <w:r w:rsidR="00AC7230">
        <w:t xml:space="preserve"> great banquet for all nations in </w:t>
      </w:r>
      <w:r w:rsidR="001C2184">
        <w:t xml:space="preserve">Isa. </w:t>
      </w:r>
      <w:r w:rsidR="00AC7230">
        <w:t>25:6-10a:</w:t>
      </w:r>
      <w:r w:rsidR="00D26D8E">
        <w:rPr>
          <w:rStyle w:val="FootnoteReference"/>
        </w:rPr>
        <w:footnoteReference w:id="30"/>
      </w:r>
    </w:p>
    <w:p w14:paraId="787AED8B" w14:textId="77777777" w:rsidR="00AC7230" w:rsidRDefault="00AC7230" w:rsidP="00AC7230">
      <w:pPr>
        <w:pStyle w:val="indentpoetry"/>
      </w:pPr>
      <w:r w:rsidRPr="00AC7230">
        <w:rPr>
          <w:vertAlign w:val="subscript"/>
        </w:rPr>
        <w:t>1</w:t>
      </w:r>
      <w:r w:rsidRPr="00AC7230">
        <w:t xml:space="preserve"> In that day this song will be sung in the land of Judah: </w:t>
      </w:r>
    </w:p>
    <w:p w14:paraId="2A18CA53" w14:textId="0B3963DC" w:rsidR="00AC7230" w:rsidRDefault="00B25EA3" w:rsidP="00AC7230">
      <w:pPr>
        <w:pStyle w:val="indentpoetry"/>
      </w:pPr>
      <w:r>
        <w:t>“</w:t>
      </w:r>
      <w:r w:rsidR="00AC7230" w:rsidRPr="00AC7230">
        <w:t xml:space="preserve">We have a strong city; </w:t>
      </w:r>
    </w:p>
    <w:p w14:paraId="3FD1DA7F" w14:textId="0A6BDFE6" w:rsidR="00AC7230" w:rsidRDefault="00AC7230" w:rsidP="00CD5507">
      <w:pPr>
        <w:pStyle w:val="indentpoetry"/>
        <w:spacing w:before="0"/>
      </w:pPr>
      <w:r w:rsidRPr="00AC7230">
        <w:t xml:space="preserve">he sets up salvation </w:t>
      </w:r>
      <w:r w:rsidR="00CD5507">
        <w:t>(</w:t>
      </w:r>
      <w:proofErr w:type="spellStart"/>
      <w:r w:rsidR="00CD5507">
        <w:rPr>
          <w:i/>
          <w:iCs/>
        </w:rPr>
        <w:t>yəšûʿāh</w:t>
      </w:r>
      <w:proofErr w:type="spellEnd"/>
      <w:r w:rsidR="00CD5507">
        <w:t xml:space="preserve">) </w:t>
      </w:r>
      <w:r w:rsidRPr="00AC7230">
        <w:t xml:space="preserve">as walls and bulwarks. </w:t>
      </w:r>
    </w:p>
    <w:p w14:paraId="5FAF9D54" w14:textId="77777777" w:rsidR="00AC7230" w:rsidRDefault="00AC7230" w:rsidP="00AC7230">
      <w:pPr>
        <w:pStyle w:val="indentpoetry"/>
      </w:pPr>
      <w:r w:rsidRPr="00AC7230">
        <w:rPr>
          <w:vertAlign w:val="subscript"/>
        </w:rPr>
        <w:t>2</w:t>
      </w:r>
      <w:r>
        <w:t> </w:t>
      </w:r>
      <w:r w:rsidRPr="00AC7230">
        <w:t xml:space="preserve">Open the gates, </w:t>
      </w:r>
    </w:p>
    <w:p w14:paraId="278C49A9" w14:textId="77777777" w:rsidR="00AC7230" w:rsidRDefault="00AC7230" w:rsidP="00AC7230">
      <w:pPr>
        <w:pStyle w:val="indentpoetry"/>
      </w:pPr>
      <w:r w:rsidRPr="00AC7230">
        <w:t xml:space="preserve">that the righteous nation that keeps faith may enter in. </w:t>
      </w:r>
    </w:p>
    <w:p w14:paraId="34F22468" w14:textId="77777777" w:rsidR="00AC7230" w:rsidRDefault="00AC7230" w:rsidP="00AC7230">
      <w:pPr>
        <w:pStyle w:val="indentpoetry"/>
      </w:pPr>
      <w:r w:rsidRPr="00AC7230">
        <w:rPr>
          <w:vertAlign w:val="subscript"/>
        </w:rPr>
        <w:t>3</w:t>
      </w:r>
      <w:r>
        <w:t> </w:t>
      </w:r>
      <w:r w:rsidRPr="00AC7230">
        <w:t xml:space="preserve">You keep him in perfect peace whose mind is stayed on you, </w:t>
      </w:r>
    </w:p>
    <w:p w14:paraId="068F9918" w14:textId="347F7D87" w:rsidR="00AC7230" w:rsidRDefault="00AC7230" w:rsidP="00AC7230">
      <w:pPr>
        <w:pStyle w:val="indentpoetry"/>
      </w:pPr>
      <w:r w:rsidRPr="00AC7230">
        <w:t>because he trusts in you.</w:t>
      </w:r>
      <w:r w:rsidR="00B25EA3">
        <w:t>”</w:t>
      </w:r>
      <w:r>
        <w:t xml:space="preserve"> (Isa. 26:1-3)</w:t>
      </w:r>
    </w:p>
    <w:p w14:paraId="711F253E" w14:textId="188742EE" w:rsidR="000847B5" w:rsidRDefault="00AC7230" w:rsidP="000847B5">
      <w:pPr>
        <w:pStyle w:val="MainText"/>
      </w:pPr>
      <w:r>
        <w:t xml:space="preserve">According to the picture being painted here, it is God’s salvation, God’s </w:t>
      </w:r>
      <w:r w:rsidR="00D26D8E">
        <w:t xml:space="preserve">protective </w:t>
      </w:r>
      <w:r>
        <w:t>saving action</w:t>
      </w:r>
      <w:r w:rsidR="00D26D8E">
        <w:t xml:space="preserve">, </w:t>
      </w:r>
      <w:r>
        <w:t>that will serve as the walls and fortifications of the Jerusalem of God’s glorious kingdom.</w:t>
      </w:r>
      <w:r w:rsidR="00D26D8E">
        <w:t xml:space="preserve"> It is therefore striking that John not only </w:t>
      </w:r>
      <w:r w:rsidR="00867FD1">
        <w:t xml:space="preserve">says </w:t>
      </w:r>
      <w:r w:rsidR="00D26D8E">
        <w:t xml:space="preserve">that the Enthroned One, “like a jasper,” lights up the New Jerusalem with glory, </w:t>
      </w:r>
      <w:r w:rsidR="00867FD1">
        <w:t xml:space="preserve">but that </w:t>
      </w:r>
      <w:r w:rsidR="00867FD1">
        <w:rPr>
          <w:i/>
          <w:iCs/>
        </w:rPr>
        <w:t>the walls of the New Jerusalem are made of jasper</w:t>
      </w:r>
      <w:r w:rsidR="00867FD1">
        <w:t xml:space="preserve"> (Rev. 21:18).</w:t>
      </w:r>
      <w:r w:rsidR="00C90558">
        <w:rPr>
          <w:rStyle w:val="FootnoteReference"/>
        </w:rPr>
        <w:footnoteReference w:id="31"/>
      </w:r>
      <w:r w:rsidR="00867FD1">
        <w:t xml:space="preserve"> In </w:t>
      </w:r>
      <w:r w:rsidR="004E1E96">
        <w:t>John’s</w:t>
      </w:r>
      <w:r w:rsidR="00867FD1">
        <w:t xml:space="preserve"> description</w:t>
      </w:r>
      <w:r w:rsidR="004E1E96">
        <w:t xml:space="preserve">, which </w:t>
      </w:r>
      <w:r w:rsidR="00867FD1">
        <w:t xml:space="preserve">is clearly symbolic, </w:t>
      </w:r>
      <w:r w:rsidR="0011082B">
        <w:t>an allusion</w:t>
      </w:r>
      <w:r w:rsidR="00867FD1">
        <w:t xml:space="preserve"> to God</w:t>
      </w:r>
      <w:r w:rsidR="00C90558">
        <w:t>’s protection</w:t>
      </w:r>
      <w:r w:rsidR="00867FD1">
        <w:t xml:space="preserve"> as the walls of eschatological Jerusalem in Isa. 26:1b </w:t>
      </w:r>
      <w:r w:rsidR="007C4867">
        <w:t xml:space="preserve">seems </w:t>
      </w:r>
      <w:r w:rsidR="001C2184">
        <w:t xml:space="preserve">very </w:t>
      </w:r>
      <w:r w:rsidR="0011082B">
        <w:t>likely</w:t>
      </w:r>
      <w:r w:rsidR="00867FD1">
        <w:t>,</w:t>
      </w:r>
      <w:r w:rsidR="00B61CBE">
        <w:rPr>
          <w:rStyle w:val="FootnoteReference"/>
        </w:rPr>
        <w:footnoteReference w:id="32"/>
      </w:r>
      <w:r w:rsidR="00867FD1">
        <w:t xml:space="preserve"> especially since Rev. 21:23, speaking of the City’s lack of need for sun or moon, will allude to Isa. 24:23</w:t>
      </w:r>
      <w:r w:rsidR="00272F00">
        <w:t xml:space="preserve"> (cf. 60:19-20)</w:t>
      </w:r>
      <w:r w:rsidR="00867FD1">
        <w:t>, and Rev. 21:25, in speaking of always</w:t>
      </w:r>
      <w:r w:rsidR="001C2184">
        <w:t>-</w:t>
      </w:r>
      <w:r w:rsidR="00867FD1">
        <w:t>open gates, through which only the righteous will enter, will allude to Isa. 26:2</w:t>
      </w:r>
      <w:r w:rsidR="00272F00">
        <w:t xml:space="preserve"> (cf. </w:t>
      </w:r>
      <w:r w:rsidR="0011082B">
        <w:t xml:space="preserve">Isa. </w:t>
      </w:r>
      <w:r w:rsidR="00272F00">
        <w:t>60:11)</w:t>
      </w:r>
      <w:r w:rsidR="00867FD1">
        <w:t>.</w:t>
      </w:r>
      <w:r w:rsidR="008C03C8">
        <w:t xml:space="preserve"> From all of this, astute readers</w:t>
      </w:r>
      <w:r w:rsidR="0094587A">
        <w:t xml:space="preserve"> of Revelation</w:t>
      </w:r>
      <w:r w:rsidR="008C03C8">
        <w:t xml:space="preserve"> will realize that the temple of the New Jerusalem, which </w:t>
      </w:r>
      <w:r w:rsidR="008C03C8">
        <w:rPr>
          <w:i/>
          <w:iCs/>
        </w:rPr>
        <w:t>is</w:t>
      </w:r>
      <w:r w:rsidR="008C03C8">
        <w:t xml:space="preserve"> God and the Lamb (Rev. 21:22), and </w:t>
      </w:r>
      <w:proofErr w:type="gramStart"/>
      <w:r w:rsidR="008C03C8">
        <w:t>whose</w:t>
      </w:r>
      <w:proofErr w:type="gramEnd"/>
      <w:r w:rsidR="008C03C8">
        <w:t xml:space="preserve"> holy of holies is the golden, cubic New Jerusalem itself (Rev. 21:16, 18),</w:t>
      </w:r>
      <w:r w:rsidR="008C03C8">
        <w:rPr>
          <w:rStyle w:val="FootnoteReference"/>
        </w:rPr>
        <w:footnoteReference w:id="33"/>
      </w:r>
      <w:r w:rsidR="008C03C8">
        <w:t xml:space="preserve"> </w:t>
      </w:r>
      <w:r w:rsidR="009C4C30">
        <w:t>is also the tent of God’s intimate presence that will shelter the faithful (Rev. 7:15; 21:3; cf. 13:6; 15:5).</w:t>
      </w:r>
      <w:r w:rsidR="0011082B">
        <w:t xml:space="preserve"> The symbols are converging.</w:t>
      </w:r>
    </w:p>
    <w:p w14:paraId="305B1BB7" w14:textId="7B81FB62" w:rsidR="000D0E2B" w:rsidRDefault="00DB658A" w:rsidP="000D0E2B">
      <w:pPr>
        <w:pStyle w:val="MainText"/>
      </w:pPr>
      <w:r>
        <w:t xml:space="preserve">How, then, does the throne of God (and the Lamb) </w:t>
      </w:r>
      <w:r w:rsidR="0011082B">
        <w:t>fit</w:t>
      </w:r>
      <w:r>
        <w:t xml:space="preserve"> into this symbolism and imagery? I have observed elsewhere that God’s throne is </w:t>
      </w:r>
      <w:r w:rsidR="00EA43E5">
        <w:t xml:space="preserve">the central </w:t>
      </w:r>
      <w:r w:rsidR="00D94119">
        <w:t>visual symbol</w:t>
      </w:r>
      <w:r w:rsidR="00EA43E5">
        <w:t xml:space="preserve"> of Revelation.</w:t>
      </w:r>
      <w:r>
        <w:rPr>
          <w:rStyle w:val="FootnoteReference"/>
        </w:rPr>
        <w:footnoteReference w:id="34"/>
      </w:r>
      <w:r w:rsidR="00EA43E5">
        <w:t xml:space="preserve"> But in chs. 21 and 22, the throne is not clearly localized. Gone is all mention of the</w:t>
      </w:r>
      <w:r w:rsidR="002733AC">
        <w:t xml:space="preserve"> vision elements previously associated </w:t>
      </w:r>
      <w:r w:rsidR="00327794">
        <w:t xml:space="preserve">spatially </w:t>
      </w:r>
      <w:r w:rsidR="002733AC">
        <w:t>with the throne in heaven: the</w:t>
      </w:r>
      <w:r w:rsidR="00EA43E5">
        <w:t xml:space="preserve"> four living creatures </w:t>
      </w:r>
      <w:r w:rsidR="002733AC">
        <w:t>(4:6, 8, 9; 5:6, 8, 11, 14; 6:1, 6; 7:11; 14:3; 15:7; 19:4)</w:t>
      </w:r>
      <w:r w:rsidR="0094587A">
        <w:t xml:space="preserve">, </w:t>
      </w:r>
      <w:r w:rsidR="00EA43E5">
        <w:t>the 24 elders</w:t>
      </w:r>
      <w:r w:rsidR="002733AC">
        <w:t xml:space="preserve"> (</w:t>
      </w:r>
      <w:r w:rsidR="00327794">
        <w:t>4:4, 10; 5:5, 6, 8, 11, 14; 7:11, 13; 11:16; 14:3; 19:4)</w:t>
      </w:r>
      <w:r w:rsidR="002733AC">
        <w:t xml:space="preserve">, </w:t>
      </w:r>
      <w:r w:rsidR="00EA43E5">
        <w:t>the lampstand (4:4), the sea (4:6), the altar of sacrifice (6:9; 9:13</w:t>
      </w:r>
      <w:r w:rsidR="002733AC">
        <w:t>; 11:1; 14:18; 16:7</w:t>
      </w:r>
      <w:r w:rsidR="00EA43E5">
        <w:t>), the curtain (6:14</w:t>
      </w:r>
      <w:r w:rsidR="002733AC">
        <w:t>; 11:19</w:t>
      </w:r>
      <w:r w:rsidR="00EA43E5">
        <w:t>), the incense altar (8:3</w:t>
      </w:r>
      <w:r w:rsidR="002733AC">
        <w:t>-5; 9:13</w:t>
      </w:r>
      <w:r w:rsidR="00EA43E5">
        <w:t xml:space="preserve">), </w:t>
      </w:r>
      <w:r w:rsidR="002733AC">
        <w:t>and the ark of the covenant (11:19)</w:t>
      </w:r>
      <w:r w:rsidR="00327794">
        <w:t>.</w:t>
      </w:r>
      <w:r w:rsidR="00D94119">
        <w:t xml:space="preserve"> If the throne is not pictured as being located anywhere in particular in the New Jerusalem, and the Enthroned One is imagined </w:t>
      </w:r>
      <w:r w:rsidR="00673347">
        <w:t xml:space="preserve">as the </w:t>
      </w:r>
      <w:r w:rsidR="00673347">
        <w:rPr>
          <w:lang w:val="el-GR"/>
        </w:rPr>
        <w:t>φωστη</w:t>
      </w:r>
      <w:r w:rsidR="00673347" w:rsidRPr="00673347">
        <w:t>́</w:t>
      </w:r>
      <w:r w:rsidR="00673347">
        <w:rPr>
          <w:lang w:val="el-GR"/>
        </w:rPr>
        <w:t>ρ</w:t>
      </w:r>
      <w:r w:rsidR="00673347">
        <w:t xml:space="preserve"> that</w:t>
      </w:r>
      <w:r w:rsidR="00D94119">
        <w:t xml:space="preserve"> cast</w:t>
      </w:r>
      <w:r w:rsidR="00673347">
        <w:t>s</w:t>
      </w:r>
      <w:r w:rsidR="00D94119">
        <w:t xml:space="preserve"> glory</w:t>
      </w:r>
      <w:r w:rsidR="0011082B">
        <w:t>-</w:t>
      </w:r>
      <w:r w:rsidR="00D94119">
        <w:t xml:space="preserve">light brighter than the sun on the whole City, does that not suggest that the </w:t>
      </w:r>
      <w:r w:rsidR="0094587A">
        <w:lastRenderedPageBreak/>
        <w:t xml:space="preserve">entire </w:t>
      </w:r>
      <w:r w:rsidR="00D94119">
        <w:t xml:space="preserve">City </w:t>
      </w:r>
      <w:r w:rsidR="001C111D">
        <w:t>functions as</w:t>
      </w:r>
      <w:r w:rsidR="00D94119">
        <w:t xml:space="preserve"> God’s throne</w:t>
      </w:r>
      <w:r w:rsidR="004E1E96">
        <w:t xml:space="preserve"> in the new creation—that it will be </w:t>
      </w:r>
      <w:r w:rsidR="001C111D">
        <w:t>the seat of God’s rule in the glorious kingdom</w:t>
      </w:r>
      <w:r w:rsidR="00D94119">
        <w:t xml:space="preserve">? This </w:t>
      </w:r>
      <w:r w:rsidR="00673347">
        <w:t xml:space="preserve">makes sense in terms of what John sees, because he sees God </w:t>
      </w:r>
      <w:r w:rsidR="004366F5">
        <w:t xml:space="preserve">symbolically </w:t>
      </w:r>
      <w:r w:rsidR="00673347">
        <w:t>atop his throne in Rev. 4:3-4 as though he is seeing a flashing jasper</w:t>
      </w:r>
      <w:r w:rsidR="004E1E96">
        <w:t xml:space="preserve"> jewel</w:t>
      </w:r>
      <w:r w:rsidR="00673347">
        <w:t>, and in Rev. 21:11 he sees that God</w:t>
      </w:r>
      <w:r w:rsidR="004366F5">
        <w:t xml:space="preserve"> is the all-illuminating </w:t>
      </w:r>
      <w:r w:rsidR="004E1E96">
        <w:t xml:space="preserve">jasper-like </w:t>
      </w:r>
      <w:r w:rsidR="004366F5">
        <w:rPr>
          <w:lang w:val="el-GR"/>
        </w:rPr>
        <w:t>φωστη</w:t>
      </w:r>
      <w:r w:rsidR="004366F5" w:rsidRPr="004366F5">
        <w:t>́</w:t>
      </w:r>
      <w:r w:rsidR="004366F5">
        <w:rPr>
          <w:lang w:val="el-GR"/>
        </w:rPr>
        <w:t>ρ</w:t>
      </w:r>
      <w:r w:rsidR="004366F5">
        <w:t xml:space="preserve"> above the New Jerusalem. </w:t>
      </w:r>
      <w:r w:rsidR="004E1E96">
        <w:t>This</w:t>
      </w:r>
      <w:r w:rsidR="004366F5">
        <w:t xml:space="preserve"> also </w:t>
      </w:r>
      <w:r w:rsidR="00D94119">
        <w:t xml:space="preserve">makes </w:t>
      </w:r>
      <w:r w:rsidR="004366F5">
        <w:t xml:space="preserve">good </w:t>
      </w:r>
      <w:r w:rsidR="00D94119">
        <w:t xml:space="preserve">sense conceptually, because the throne symbolizes the place of the full expression and implementation of God’s </w:t>
      </w:r>
      <w:r w:rsidR="00476348">
        <w:t xml:space="preserve">authoritative </w:t>
      </w:r>
      <w:r w:rsidR="00D94119">
        <w:t>will for creation</w:t>
      </w:r>
      <w:r w:rsidR="00476348">
        <w:t>.</w:t>
      </w:r>
      <w:r w:rsidR="00D94119">
        <w:t xml:space="preserve"> </w:t>
      </w:r>
      <w:r w:rsidR="00476348">
        <w:t xml:space="preserve">Jesus teaches his followers to pray, </w:t>
      </w:r>
      <w:r w:rsidR="00D94119">
        <w:t xml:space="preserve">“Your kingdom come, your will be done on earth as in heaven” (Mt. </w:t>
      </w:r>
      <w:r w:rsidR="000D0E2B">
        <w:t xml:space="preserve">6:10 || Lk. 11:2). In the new creation, the </w:t>
      </w:r>
      <w:r w:rsidR="0011082B">
        <w:t xml:space="preserve">beloved community, the </w:t>
      </w:r>
      <w:r w:rsidR="000D0E2B">
        <w:t>New Jerusalem</w:t>
      </w:r>
      <w:r w:rsidR="0011082B">
        <w:t>,</w:t>
      </w:r>
      <w:r w:rsidR="0011082B">
        <w:rPr>
          <w:rStyle w:val="FootnoteReference"/>
        </w:rPr>
        <w:footnoteReference w:id="35"/>
      </w:r>
      <w:r w:rsidR="000D0E2B">
        <w:t xml:space="preserve"> will be the locus of the fulfillment of this prayer—the redeemed community</w:t>
      </w:r>
      <w:r w:rsidR="00BB4225">
        <w:t xml:space="preserve"> on earth</w:t>
      </w:r>
      <w:r w:rsidR="000D0E2B">
        <w:t xml:space="preserve"> will embody the fulfillment of the symbol of the throne of God. Jeremiah </w:t>
      </w:r>
      <w:r w:rsidR="00476348">
        <w:t>indeed prophesies of a time when</w:t>
      </w:r>
    </w:p>
    <w:p w14:paraId="3828292D" w14:textId="5370595F" w:rsidR="00DB658A" w:rsidRDefault="000D0E2B" w:rsidP="000D0E2B">
      <w:pPr>
        <w:pStyle w:val="indent"/>
      </w:pPr>
      <w:r w:rsidRPr="000D0E2B">
        <w:t xml:space="preserve">they shall no more say, “The ark of the covenant of the </w:t>
      </w:r>
      <w:r w:rsidRPr="00476348">
        <w:rPr>
          <w:smallCaps/>
        </w:rPr>
        <w:t>Lord</w:t>
      </w:r>
      <w:r w:rsidRPr="000D0E2B">
        <w:t xml:space="preserve">.” It shall not come to mind or be remembered or missed; it shall not be made again. </w:t>
      </w:r>
      <w:r w:rsidRPr="001C111D">
        <w:rPr>
          <w:vertAlign w:val="subscript"/>
        </w:rPr>
        <w:t>17</w:t>
      </w:r>
      <w:r w:rsidRPr="000D0E2B">
        <w:t xml:space="preserve"> At that time </w:t>
      </w:r>
      <w:r w:rsidRPr="00476348">
        <w:rPr>
          <w:i/>
          <w:iCs/>
        </w:rPr>
        <w:t xml:space="preserve">Jerusalem shall be called the throne of the </w:t>
      </w:r>
      <w:r w:rsidRPr="00476348">
        <w:rPr>
          <w:i/>
          <w:iCs/>
          <w:smallCaps/>
        </w:rPr>
        <w:t>Lord</w:t>
      </w:r>
      <w:r w:rsidRPr="000D0E2B">
        <w:t xml:space="preserve">, and all nations shall gather to it, to the presence of the </w:t>
      </w:r>
      <w:r w:rsidRPr="00476348">
        <w:rPr>
          <w:smallCaps/>
        </w:rPr>
        <w:t>Lord</w:t>
      </w:r>
      <w:r w:rsidRPr="000D0E2B">
        <w:t xml:space="preserve"> in Jerusalem, and they shall no more stubbornly follow their own evil heart.</w:t>
      </w:r>
      <w:r>
        <w:t xml:space="preserve"> </w:t>
      </w:r>
      <w:r w:rsidR="00476348">
        <w:t>(Jer. 3:16b-17; cf. Jer. 17:12)</w:t>
      </w:r>
    </w:p>
    <w:p w14:paraId="3B99B5A7" w14:textId="419A0B6C" w:rsidR="001C111D" w:rsidRDefault="001C2184" w:rsidP="00DB4677">
      <w:pPr>
        <w:pStyle w:val="MainText"/>
      </w:pPr>
      <w:r>
        <w:t>Pushing</w:t>
      </w:r>
      <w:r w:rsidR="001C111D">
        <w:t xml:space="preserve"> this </w:t>
      </w:r>
      <w:r w:rsidR="004366F5">
        <w:t>identification</w:t>
      </w:r>
      <w:r w:rsidR="001C111D">
        <w:t xml:space="preserve"> </w:t>
      </w:r>
      <w:r w:rsidR="0008442C">
        <w:t xml:space="preserve">too </w:t>
      </w:r>
      <w:r w:rsidR="005470AB">
        <w:t>inflexibly</w:t>
      </w:r>
      <w:r>
        <w:t xml:space="preserve"> </w:t>
      </w:r>
      <w:r w:rsidR="005470AB">
        <w:t xml:space="preserve">in Revelation </w:t>
      </w:r>
      <w:r w:rsidR="001C111D">
        <w:t xml:space="preserve">can lead to snags—for example, John says in </w:t>
      </w:r>
      <w:r w:rsidR="004E1E96">
        <w:t xml:space="preserve">Rev. </w:t>
      </w:r>
      <w:r w:rsidR="001C111D">
        <w:t xml:space="preserve">22:3 that “the throne of God and of the Lamb will be in it.” How can the throne be “in” the New Jerusalem, </w:t>
      </w:r>
      <w:r w:rsidR="0094587A">
        <w:t>while</w:t>
      </w:r>
      <w:r w:rsidR="001C111D">
        <w:t xml:space="preserve"> also </w:t>
      </w:r>
      <w:r w:rsidR="0094587A">
        <w:t xml:space="preserve">being </w:t>
      </w:r>
      <w:r w:rsidR="001C111D">
        <w:t xml:space="preserve">identical with it? On the other hand, </w:t>
      </w:r>
      <w:r w:rsidR="003C27DA">
        <w:t>John sees the spring of the water of life, which becomes “the river of life</w:t>
      </w:r>
      <w:r>
        <w:t xml:space="preserve"> </w:t>
      </w:r>
      <w:r w:rsidR="003C27DA">
        <w:t>coming out of (</w:t>
      </w:r>
      <w:r w:rsidR="003C27DA">
        <w:rPr>
          <w:lang w:val="el-GR"/>
        </w:rPr>
        <w:t>ε</w:t>
      </w:r>
      <w:r w:rsidR="003C27DA" w:rsidRPr="003C27DA">
        <w:t>̓</w:t>
      </w:r>
      <w:r w:rsidR="003C27DA">
        <w:rPr>
          <w:lang w:val="el-GR"/>
        </w:rPr>
        <w:t>κπορευο</w:t>
      </w:r>
      <w:r w:rsidR="00517EB3" w:rsidRPr="00517EB3">
        <w:t>́</w:t>
      </w:r>
      <w:r w:rsidR="003C27DA">
        <w:rPr>
          <w:lang w:val="el-GR"/>
        </w:rPr>
        <w:t>μενον</w:t>
      </w:r>
      <w:r w:rsidR="003C27DA" w:rsidRPr="003C27DA">
        <w:t xml:space="preserve"> </w:t>
      </w:r>
      <w:r w:rsidR="003C27DA">
        <w:rPr>
          <w:lang w:val="el-GR"/>
        </w:rPr>
        <w:t>ε</w:t>
      </w:r>
      <w:r w:rsidR="003C27DA" w:rsidRPr="003C27DA">
        <w:t>̓</w:t>
      </w:r>
      <w:r w:rsidR="003C27DA">
        <w:rPr>
          <w:lang w:val="el-GR"/>
        </w:rPr>
        <w:t>κ</w:t>
      </w:r>
      <w:r w:rsidR="003C27DA" w:rsidRPr="00517EB3">
        <w:t>)</w:t>
      </w:r>
      <w:r w:rsidR="003C27DA">
        <w:t xml:space="preserve"> the throne of God and of the Lamb</w:t>
      </w:r>
      <w:r w:rsidR="004E1E96">
        <w:t xml:space="preserve"> in Rev. 22:1</w:t>
      </w:r>
      <w:r w:rsidR="0008442C">
        <w:t>.</w:t>
      </w:r>
      <w:r w:rsidR="003C27DA">
        <w:t>”</w:t>
      </w:r>
      <w:r>
        <w:rPr>
          <w:rStyle w:val="FootnoteReference"/>
        </w:rPr>
        <w:footnoteReference w:id="36"/>
      </w:r>
      <w:r w:rsidR="003C27DA">
        <w:t xml:space="preserve"> </w:t>
      </w:r>
      <w:r w:rsidR="0008442C">
        <w:t>I</w:t>
      </w:r>
      <w:r w:rsidR="003C27DA">
        <w:t xml:space="preserve">s not Mount Zion itself </w:t>
      </w:r>
      <w:r w:rsidR="00517EB3">
        <w:t xml:space="preserve">the place </w:t>
      </w:r>
      <w:r w:rsidR="003C27DA">
        <w:t xml:space="preserve">where any artesian spring must be imagined to </w:t>
      </w:r>
      <w:r w:rsidR="00517EB3">
        <w:t>come forth</w:t>
      </w:r>
      <w:r w:rsidR="003C27DA">
        <w:t>?</w:t>
      </w:r>
      <w:r w:rsidR="0008442C">
        <w:t xml:space="preserve"> Perhaps Mount Zion, </w:t>
      </w:r>
      <w:r w:rsidR="005564D5">
        <w:t>the “great, high mountain” (</w:t>
      </w:r>
      <w:proofErr w:type="spellStart"/>
      <w:r w:rsidR="005564D5" w:rsidRPr="005564D5">
        <w:t>ὄρος</w:t>
      </w:r>
      <w:proofErr w:type="spellEnd"/>
      <w:r w:rsidR="005564D5" w:rsidRPr="005564D5">
        <w:t xml:space="preserve"> </w:t>
      </w:r>
      <w:proofErr w:type="spellStart"/>
      <w:r w:rsidR="005564D5" w:rsidRPr="005564D5">
        <w:t>μέγ</w:t>
      </w:r>
      <w:proofErr w:type="spellEnd"/>
      <w:r w:rsidR="005564D5" w:rsidRPr="005564D5">
        <w:t xml:space="preserve">α καὶ </w:t>
      </w:r>
      <w:proofErr w:type="spellStart"/>
      <w:r w:rsidR="005564D5" w:rsidRPr="005564D5">
        <w:t>ὑψηλόν</w:t>
      </w:r>
      <w:proofErr w:type="spellEnd"/>
      <w:r w:rsidR="005564D5">
        <w:t xml:space="preserve">) upon which the New Jerusalem will be sited (21:10), is to be imagined as the </w:t>
      </w:r>
      <w:r w:rsidR="0073086B">
        <w:t xml:space="preserve">great, high </w:t>
      </w:r>
      <w:r w:rsidR="005564D5">
        <w:t xml:space="preserve">throne of God and the Lamb in the new creation. </w:t>
      </w:r>
      <w:r w:rsidR="00107CBB">
        <w:t>On this theme, t</w:t>
      </w:r>
      <w:r w:rsidR="00DB4677">
        <w:t xml:space="preserve">he pseudepigraphic </w:t>
      </w:r>
      <w:r w:rsidR="00DB4677">
        <w:rPr>
          <w:i/>
          <w:iCs/>
        </w:rPr>
        <w:t>1 Enoch</w:t>
      </w:r>
      <w:r w:rsidR="00DB4677">
        <w:t xml:space="preserve">, beloved of first-century Jews and </w:t>
      </w:r>
      <w:r w:rsidR="00CF7B78">
        <w:t>Christians</w:t>
      </w:r>
      <w:r w:rsidR="00DB4677">
        <w:t xml:space="preserve"> alike, sp</w:t>
      </w:r>
      <w:r w:rsidR="005470AB">
        <w:t>eaks</w:t>
      </w:r>
      <w:r w:rsidR="00DB4677">
        <w:t xml:space="preserve"> of the eschatological or </w:t>
      </w:r>
      <w:r w:rsidR="005470AB">
        <w:t>mystical</w:t>
      </w:r>
      <w:r w:rsidR="00DB4677">
        <w:t xml:space="preserve"> mount Zion as “</w:t>
      </w:r>
      <w:r w:rsidR="00DB4677" w:rsidRPr="00DB4677">
        <w:t>the throne of God, which is of alabaster and whose summit is of sapphire</w:t>
      </w:r>
      <w:r w:rsidR="00DB4677">
        <w:t>” (</w:t>
      </w:r>
      <w:r w:rsidR="00DB4677">
        <w:rPr>
          <w:i/>
          <w:iCs/>
        </w:rPr>
        <w:t xml:space="preserve">1 En. </w:t>
      </w:r>
      <w:r w:rsidR="00DB4677" w:rsidRPr="00DB4677">
        <w:t>8:8</w:t>
      </w:r>
      <w:r w:rsidR="00102FC9">
        <w:t>; cf. Ezek. 1:26; 10:1</w:t>
      </w:r>
      <w:r w:rsidR="00DB4677">
        <w:t>).</w:t>
      </w:r>
      <w:r w:rsidR="00DB4677">
        <w:rPr>
          <w:rStyle w:val="FootnoteReference"/>
        </w:rPr>
        <w:footnoteReference w:id="37"/>
      </w:r>
      <w:r w:rsidR="00DB4677">
        <w:t xml:space="preserve"> </w:t>
      </w:r>
      <w:r w:rsidR="00107CBB">
        <w:t>And i</w:t>
      </w:r>
      <w:r w:rsidR="00DB4677">
        <w:t xml:space="preserve">n the </w:t>
      </w:r>
      <w:r w:rsidR="00107CBB">
        <w:t xml:space="preserve">canonical </w:t>
      </w:r>
      <w:r w:rsidR="00DB4677">
        <w:t>psalms we have this:</w:t>
      </w:r>
    </w:p>
    <w:p w14:paraId="09F4EA2D" w14:textId="24B36BCA" w:rsidR="00DB4677" w:rsidRPr="00AC1144" w:rsidRDefault="00DB4677" w:rsidP="00D4431E">
      <w:pPr>
        <w:pStyle w:val="indentpoetry"/>
        <w:rPr>
          <w:lang w:bidi="he-IL"/>
        </w:rPr>
      </w:pPr>
      <w:r>
        <w:rPr>
          <w:lang w:bidi="he-IL"/>
        </w:rPr>
        <w:t xml:space="preserve">For the </w:t>
      </w:r>
      <w:r w:rsidRPr="00DB4677">
        <w:rPr>
          <w:smallCaps/>
          <w:lang w:bidi="he-IL"/>
        </w:rPr>
        <w:t>Lord</w:t>
      </w:r>
      <w:r>
        <w:rPr>
          <w:lang w:bidi="he-IL"/>
        </w:rPr>
        <w:t xml:space="preserve"> has chosen Zion</w:t>
      </w:r>
      <w:r w:rsidRPr="00AC1144">
        <w:rPr>
          <w:lang w:bidi="he-IL"/>
        </w:rPr>
        <w:t xml:space="preserve">; he has desired it for his </w:t>
      </w:r>
      <w:r w:rsidRPr="00102FC9">
        <w:rPr>
          <w:i/>
          <w:iCs/>
          <w:lang w:bidi="he-IL"/>
        </w:rPr>
        <w:t>dwelling place</w:t>
      </w:r>
      <w:r w:rsidR="00CF7B78">
        <w:rPr>
          <w:lang w:bidi="he-IL"/>
        </w:rPr>
        <w:t xml:space="preserve"> </w:t>
      </w:r>
      <w:r w:rsidR="00CF7B78" w:rsidRPr="00CF7B78">
        <w:rPr>
          <w:lang w:bidi="he-IL"/>
        </w:rPr>
        <w:t>(</w:t>
      </w:r>
      <w:r w:rsidR="00102FC9">
        <w:rPr>
          <w:lang w:bidi="he-IL"/>
        </w:rPr>
        <w:t xml:space="preserve">or </w:t>
      </w:r>
      <w:r w:rsidR="00102FC9" w:rsidRPr="00102FC9">
        <w:rPr>
          <w:i/>
          <w:iCs/>
          <w:lang w:bidi="he-IL"/>
        </w:rPr>
        <w:t>his throne</w:t>
      </w:r>
      <w:r w:rsidR="00102FC9">
        <w:rPr>
          <w:lang w:bidi="he-IL"/>
        </w:rPr>
        <w:t xml:space="preserve">, Heb. </w:t>
      </w:r>
      <w:proofErr w:type="spellStart"/>
      <w:r w:rsidR="00CF7B78" w:rsidRPr="00CF7B78">
        <w:rPr>
          <w:i/>
          <w:iCs/>
          <w:lang w:bidi="he-IL"/>
        </w:rPr>
        <w:t>môšāb</w:t>
      </w:r>
      <w:proofErr w:type="spellEnd"/>
      <w:r w:rsidR="00CF7B78" w:rsidRPr="00CF7B78">
        <w:rPr>
          <w:lang w:bidi="he-IL"/>
        </w:rPr>
        <w:t>)</w:t>
      </w:r>
      <w:r w:rsidRPr="00AC1144">
        <w:rPr>
          <w:lang w:bidi="he-IL"/>
        </w:rPr>
        <w:t>.</w:t>
      </w:r>
      <w:r w:rsidR="00602FFE">
        <w:rPr>
          <w:rStyle w:val="FootnoteReference"/>
          <w:lang w:bidi="he-IL"/>
        </w:rPr>
        <w:footnoteReference w:id="38"/>
      </w:r>
    </w:p>
    <w:p w14:paraId="6D42D862" w14:textId="187E27A1" w:rsidR="00DB4677" w:rsidRDefault="00DB4677" w:rsidP="00D4431E">
      <w:pPr>
        <w:pStyle w:val="indentpoetry"/>
        <w:rPr>
          <w:lang w:bidi="he-IL"/>
        </w:rPr>
      </w:pPr>
      <w:r w:rsidRPr="00AC1144">
        <w:rPr>
          <w:lang w:bidi="he-IL"/>
        </w:rPr>
        <w:lastRenderedPageBreak/>
        <w:t xml:space="preserve">This is my resting place forever; here I will </w:t>
      </w:r>
      <w:r w:rsidRPr="00102FC9">
        <w:rPr>
          <w:i/>
          <w:iCs/>
          <w:lang w:bidi="he-IL"/>
        </w:rPr>
        <w:t>dwell</w:t>
      </w:r>
      <w:r w:rsidR="00CF7B78">
        <w:rPr>
          <w:lang w:bidi="he-IL"/>
        </w:rPr>
        <w:t xml:space="preserve"> (</w:t>
      </w:r>
      <w:r w:rsidR="00102FC9">
        <w:rPr>
          <w:lang w:bidi="he-IL"/>
        </w:rPr>
        <w:t xml:space="preserve">or </w:t>
      </w:r>
      <w:r w:rsidR="00102FC9" w:rsidRPr="00102FC9">
        <w:rPr>
          <w:i/>
          <w:iCs/>
          <w:lang w:bidi="he-IL"/>
        </w:rPr>
        <w:t>sit enthroned</w:t>
      </w:r>
      <w:r w:rsidR="00102FC9">
        <w:rPr>
          <w:lang w:bidi="he-IL"/>
        </w:rPr>
        <w:t xml:space="preserve">, Heb. </w:t>
      </w:r>
      <w:proofErr w:type="spellStart"/>
      <w:r w:rsidR="00CF7B78" w:rsidRPr="00CF7B78">
        <w:rPr>
          <w:i/>
          <w:iCs/>
          <w:lang w:bidi="he-IL"/>
        </w:rPr>
        <w:t>ʾēšēb</w:t>
      </w:r>
      <w:proofErr w:type="spellEnd"/>
      <w:r w:rsidR="00CF7B78">
        <w:rPr>
          <w:lang w:bidi="he-IL"/>
        </w:rPr>
        <w:t>)</w:t>
      </w:r>
      <w:r w:rsidRPr="00AC1144">
        <w:rPr>
          <w:lang w:bidi="he-IL"/>
        </w:rPr>
        <w:t>,</w:t>
      </w:r>
      <w:r w:rsidR="00CF7B78">
        <w:rPr>
          <w:rStyle w:val="FootnoteReference"/>
          <w:lang w:bidi="he-IL"/>
        </w:rPr>
        <w:footnoteReference w:id="39"/>
      </w:r>
      <w:r w:rsidRPr="00AC1144">
        <w:rPr>
          <w:lang w:bidi="he-IL"/>
        </w:rPr>
        <w:t xml:space="preserve"> for </w:t>
      </w:r>
      <w:r>
        <w:rPr>
          <w:lang w:bidi="he-IL"/>
        </w:rPr>
        <w:t>I have desired it.</w:t>
      </w:r>
      <w:r w:rsidR="00D4431E">
        <w:rPr>
          <w:lang w:bidi="he-IL"/>
        </w:rPr>
        <w:t xml:space="preserve"> (Ps. 132:13-14</w:t>
      </w:r>
      <w:r w:rsidR="00AC1144">
        <w:rPr>
          <w:lang w:bidi="he-IL"/>
        </w:rPr>
        <w:t>; cf. Ps. 68:16</w:t>
      </w:r>
      <w:r w:rsidR="00D4431E">
        <w:rPr>
          <w:lang w:bidi="he-IL"/>
        </w:rPr>
        <w:t>)</w:t>
      </w:r>
    </w:p>
    <w:p w14:paraId="418F33F4" w14:textId="7E842AB6" w:rsidR="00816931" w:rsidRDefault="00710EB2" w:rsidP="00710EB2">
      <w:pPr>
        <w:pStyle w:val="MainText"/>
        <w:rPr>
          <w:lang w:bidi="he-IL"/>
        </w:rPr>
      </w:pPr>
      <w:r>
        <w:rPr>
          <w:lang w:bidi="he-IL"/>
        </w:rPr>
        <w:t xml:space="preserve">What is to be made of all this? </w:t>
      </w:r>
      <w:r w:rsidR="00C506AF">
        <w:rPr>
          <w:lang w:bidi="he-IL"/>
        </w:rPr>
        <w:t xml:space="preserve">There is a particular destination that I am driving towards: I think John would like for astute readers/hearers of Revelation to begin wondering, as they </w:t>
      </w:r>
      <w:r w:rsidR="001B1AF8">
        <w:rPr>
          <w:lang w:bidi="he-IL"/>
        </w:rPr>
        <w:t xml:space="preserve">encounter the </w:t>
      </w:r>
      <w:r w:rsidR="004E1E96">
        <w:rPr>
          <w:lang w:bidi="he-IL"/>
        </w:rPr>
        <w:t>glory-bathed</w:t>
      </w:r>
      <w:r w:rsidR="001B1AF8">
        <w:rPr>
          <w:lang w:bidi="he-IL"/>
        </w:rPr>
        <w:t xml:space="preserve"> New Jerusalem in</w:t>
      </w:r>
      <w:r w:rsidR="00C506AF">
        <w:rPr>
          <w:lang w:bidi="he-IL"/>
        </w:rPr>
        <w:t xml:space="preserve"> Rev. 21:11, </w:t>
      </w:r>
      <w:r w:rsidR="003867AA">
        <w:rPr>
          <w:lang w:bidi="he-IL"/>
        </w:rPr>
        <w:t xml:space="preserve">and her </w:t>
      </w:r>
      <w:r w:rsidR="003867AA">
        <w:rPr>
          <w:lang w:val="el-GR" w:bidi="he-IL"/>
        </w:rPr>
        <w:t>φωστη</w:t>
      </w:r>
      <w:r w:rsidR="003867AA" w:rsidRPr="003867AA">
        <w:rPr>
          <w:lang w:bidi="he-IL"/>
        </w:rPr>
        <w:t>́</w:t>
      </w:r>
      <w:r w:rsidR="003867AA">
        <w:rPr>
          <w:lang w:val="el-GR" w:bidi="he-IL"/>
        </w:rPr>
        <w:t>ρ</w:t>
      </w:r>
      <w:r w:rsidR="003867AA">
        <w:rPr>
          <w:lang w:bidi="he-IL"/>
        </w:rPr>
        <w:t xml:space="preserve">, </w:t>
      </w:r>
      <w:r w:rsidR="00C506AF">
        <w:rPr>
          <w:lang w:bidi="he-IL"/>
        </w:rPr>
        <w:t xml:space="preserve">what it might have meant </w:t>
      </w:r>
      <w:r w:rsidR="001B1AF8">
        <w:rPr>
          <w:lang w:bidi="he-IL"/>
        </w:rPr>
        <w:t>when</w:t>
      </w:r>
      <w:r w:rsidR="00C506AF">
        <w:rPr>
          <w:lang w:bidi="he-IL"/>
        </w:rPr>
        <w:t xml:space="preserve"> John had recently described God’s throne as great and white (</w:t>
      </w:r>
      <w:r w:rsidR="00C506AF">
        <w:rPr>
          <w:lang w:val="el-GR" w:bidi="he-IL"/>
        </w:rPr>
        <w:t>θρο</w:t>
      </w:r>
      <w:r w:rsidR="00C506AF" w:rsidRPr="00C506AF">
        <w:rPr>
          <w:lang w:bidi="he-IL"/>
        </w:rPr>
        <w:t>́</w:t>
      </w:r>
      <w:r w:rsidR="00C506AF">
        <w:rPr>
          <w:lang w:val="el-GR" w:bidi="he-IL"/>
        </w:rPr>
        <w:t>νον</w:t>
      </w:r>
      <w:r w:rsidR="00C506AF" w:rsidRPr="00C506AF">
        <w:rPr>
          <w:lang w:bidi="he-IL"/>
        </w:rPr>
        <w:t xml:space="preserve"> </w:t>
      </w:r>
      <w:r w:rsidR="00C506AF">
        <w:rPr>
          <w:lang w:val="el-GR" w:bidi="he-IL"/>
        </w:rPr>
        <w:t>με</w:t>
      </w:r>
      <w:r w:rsidR="00C506AF" w:rsidRPr="00C506AF">
        <w:rPr>
          <w:lang w:bidi="he-IL"/>
        </w:rPr>
        <w:t>́</w:t>
      </w:r>
      <w:r w:rsidR="00C506AF">
        <w:rPr>
          <w:lang w:val="el-GR" w:bidi="he-IL"/>
        </w:rPr>
        <w:t>γαν</w:t>
      </w:r>
      <w:r w:rsidR="00C506AF" w:rsidRPr="00C506AF">
        <w:rPr>
          <w:lang w:bidi="he-IL"/>
        </w:rPr>
        <w:t xml:space="preserve"> </w:t>
      </w:r>
      <w:r w:rsidR="00C506AF">
        <w:rPr>
          <w:lang w:val="el-GR" w:bidi="he-IL"/>
        </w:rPr>
        <w:t>λευκο</w:t>
      </w:r>
      <w:r w:rsidR="00C506AF" w:rsidRPr="00C506AF">
        <w:rPr>
          <w:lang w:bidi="he-IL"/>
        </w:rPr>
        <w:t>́</w:t>
      </w:r>
      <w:r w:rsidR="00C506AF">
        <w:rPr>
          <w:lang w:val="el-GR" w:bidi="he-IL"/>
        </w:rPr>
        <w:t>ν</w:t>
      </w:r>
      <w:r w:rsidR="00F04E5F">
        <w:rPr>
          <w:lang w:bidi="he-IL"/>
        </w:rPr>
        <w:t>) in</w:t>
      </w:r>
      <w:r w:rsidR="004E1E96">
        <w:rPr>
          <w:lang w:bidi="he-IL"/>
        </w:rPr>
        <w:t xml:space="preserve"> 20:11</w:t>
      </w:r>
      <w:r w:rsidR="00C506AF">
        <w:rPr>
          <w:lang w:bidi="he-IL"/>
        </w:rPr>
        <w:t>. What if, in John’s vision of the great judgment of the dead, he was</w:t>
      </w:r>
      <w:r w:rsidR="001B1AF8">
        <w:rPr>
          <w:lang w:bidi="he-IL"/>
        </w:rPr>
        <w:t xml:space="preserve"> no</w:t>
      </w:r>
      <w:r w:rsidR="00C506AF">
        <w:rPr>
          <w:lang w:bidi="he-IL"/>
        </w:rPr>
        <w:t xml:space="preserve">t </w:t>
      </w:r>
      <w:r w:rsidR="003867AA">
        <w:rPr>
          <w:lang w:bidi="he-IL"/>
        </w:rPr>
        <w:t xml:space="preserve">describing a throne off </w:t>
      </w:r>
      <w:r w:rsidR="00C506AF">
        <w:rPr>
          <w:lang w:bidi="he-IL"/>
        </w:rPr>
        <w:t>in some abstract space</w:t>
      </w:r>
      <w:r w:rsidR="001B1AF8">
        <w:rPr>
          <w:lang w:bidi="he-IL"/>
        </w:rPr>
        <w:t xml:space="preserve">, but rather, Zion/the New Jerusalem as God’s </w:t>
      </w:r>
      <w:r w:rsidR="00AA1D45">
        <w:rPr>
          <w:lang w:bidi="he-IL"/>
        </w:rPr>
        <w:t xml:space="preserve">great, </w:t>
      </w:r>
      <w:r w:rsidR="001B1AF8">
        <w:rPr>
          <w:lang w:bidi="he-IL"/>
        </w:rPr>
        <w:t>glor</w:t>
      </w:r>
      <w:r w:rsidR="00816931">
        <w:rPr>
          <w:lang w:bidi="he-IL"/>
        </w:rPr>
        <w:t>y-shining</w:t>
      </w:r>
      <w:r w:rsidR="001B1AF8">
        <w:rPr>
          <w:lang w:bidi="he-IL"/>
        </w:rPr>
        <w:t xml:space="preserve"> throne coming to earth? His allusion to God’s appearance on his throne in </w:t>
      </w:r>
      <w:r w:rsidR="00741347">
        <w:rPr>
          <w:lang w:bidi="he-IL"/>
        </w:rPr>
        <w:t xml:space="preserve">Rev. </w:t>
      </w:r>
      <w:r w:rsidR="001B1AF8">
        <w:rPr>
          <w:lang w:bidi="he-IL"/>
        </w:rPr>
        <w:t xml:space="preserve">4:4 as “like a jasper,” combined with the presumed position of God as </w:t>
      </w:r>
      <w:r w:rsidR="001B1AF8">
        <w:rPr>
          <w:lang w:val="el-GR" w:bidi="he-IL"/>
        </w:rPr>
        <w:t>φωστη</w:t>
      </w:r>
      <w:r w:rsidR="001B1AF8" w:rsidRPr="001B1AF8">
        <w:rPr>
          <w:lang w:bidi="he-IL"/>
        </w:rPr>
        <w:t>́</w:t>
      </w:r>
      <w:r w:rsidR="001B1AF8">
        <w:rPr>
          <w:lang w:val="el-GR" w:bidi="he-IL"/>
        </w:rPr>
        <w:t>ρ</w:t>
      </w:r>
      <w:r w:rsidR="001B1AF8">
        <w:rPr>
          <w:lang w:bidi="he-IL"/>
        </w:rPr>
        <w:t xml:space="preserve"> immediately above the </w:t>
      </w:r>
      <w:proofErr w:type="gramStart"/>
      <w:r w:rsidR="001B1AF8">
        <w:rPr>
          <w:lang w:bidi="he-IL"/>
        </w:rPr>
        <w:t>City</w:t>
      </w:r>
      <w:proofErr w:type="gramEnd"/>
      <w:r w:rsidR="003867AA">
        <w:rPr>
          <w:lang w:bidi="he-IL"/>
        </w:rPr>
        <w:t xml:space="preserve"> in 21:11</w:t>
      </w:r>
      <w:r w:rsidR="001B1AF8">
        <w:rPr>
          <w:lang w:bidi="he-IL"/>
        </w:rPr>
        <w:t xml:space="preserve">, would </w:t>
      </w:r>
      <w:r w:rsidR="00905AFF">
        <w:rPr>
          <w:lang w:bidi="he-IL"/>
        </w:rPr>
        <w:t>surely</w:t>
      </w:r>
      <w:r w:rsidR="001B1AF8">
        <w:rPr>
          <w:lang w:bidi="he-IL"/>
        </w:rPr>
        <w:t xml:space="preserve"> be encouraging of this leap of imagination. </w:t>
      </w:r>
      <w:r w:rsidR="00816931">
        <w:rPr>
          <w:lang w:bidi="he-IL"/>
        </w:rPr>
        <w:t xml:space="preserve">And this would not be the first time in Revelation </w:t>
      </w:r>
      <w:r w:rsidR="009D0DFC">
        <w:rPr>
          <w:lang w:bidi="he-IL"/>
        </w:rPr>
        <w:t>that</w:t>
      </w:r>
      <w:r w:rsidR="00816931">
        <w:rPr>
          <w:lang w:bidi="he-IL"/>
        </w:rPr>
        <w:t xml:space="preserve"> John had placed what I call an “Easter egg” in his text</w:t>
      </w:r>
      <w:r w:rsidR="00350F98">
        <w:rPr>
          <w:lang w:bidi="he-IL"/>
        </w:rPr>
        <w:t>—an element whose meaning would intentionally remain mysterious until a specific later point in the text</w:t>
      </w:r>
      <w:r w:rsidR="00905AFF">
        <w:rPr>
          <w:lang w:bidi="he-IL"/>
        </w:rPr>
        <w:t>, at which point it would take on a great deal of significance</w:t>
      </w:r>
      <w:r w:rsidR="00350F98">
        <w:rPr>
          <w:lang w:bidi="he-IL"/>
        </w:rPr>
        <w:t xml:space="preserve">. For example, in Rev. </w:t>
      </w:r>
      <w:r w:rsidR="00350F98" w:rsidRPr="00350F98">
        <w:rPr>
          <w:lang w:bidi="he-IL"/>
        </w:rPr>
        <w:t>2:28</w:t>
      </w:r>
      <w:r w:rsidR="00350F98">
        <w:rPr>
          <w:lang w:bidi="he-IL"/>
        </w:rPr>
        <w:t xml:space="preserve"> Jesus promises to give the overcomer “the morning star,” which remains mysterious until Rev. 22:16 </w:t>
      </w:r>
      <w:r w:rsidR="009D0DFC">
        <w:rPr>
          <w:lang w:bidi="he-IL"/>
        </w:rPr>
        <w:t xml:space="preserve">when </w:t>
      </w:r>
      <w:r w:rsidR="00350F98">
        <w:rPr>
          <w:lang w:bidi="he-IL"/>
        </w:rPr>
        <w:t xml:space="preserve">he announces, “I am the bright morning star.” The </w:t>
      </w:r>
      <w:r w:rsidR="001311E3">
        <w:rPr>
          <w:lang w:bidi="he-IL"/>
        </w:rPr>
        <w:t xml:space="preserve">wondrous </w:t>
      </w:r>
      <w:r w:rsidR="00350F98">
        <w:rPr>
          <w:lang w:bidi="he-IL"/>
        </w:rPr>
        <w:t xml:space="preserve">surprise is that he </w:t>
      </w:r>
      <w:r w:rsidR="001311E3">
        <w:rPr>
          <w:lang w:bidi="he-IL"/>
        </w:rPr>
        <w:t>ha</w:t>
      </w:r>
      <w:r w:rsidR="009D0DFC">
        <w:rPr>
          <w:lang w:bidi="he-IL"/>
        </w:rPr>
        <w:t>s</w:t>
      </w:r>
      <w:r w:rsidR="00350F98">
        <w:rPr>
          <w:lang w:bidi="he-IL"/>
        </w:rPr>
        <w:t xml:space="preserve"> promis</w:t>
      </w:r>
      <w:r w:rsidR="001311E3">
        <w:rPr>
          <w:lang w:bidi="he-IL"/>
        </w:rPr>
        <w:t xml:space="preserve">ed </w:t>
      </w:r>
      <w:r w:rsidR="00350F98">
        <w:rPr>
          <w:i/>
          <w:iCs/>
          <w:lang w:bidi="he-IL"/>
        </w:rPr>
        <w:t>himself</w:t>
      </w:r>
      <w:r w:rsidR="00350F98">
        <w:rPr>
          <w:lang w:bidi="he-IL"/>
        </w:rPr>
        <w:t xml:space="preserve"> to the overcomer! In another example, John says in Rev. 1:1 that Jesus sent his angel to give John the revelation of Jesus Christ, and the reader only finds out in </w:t>
      </w:r>
      <w:r w:rsidR="00F04E5F">
        <w:rPr>
          <w:lang w:bidi="he-IL"/>
        </w:rPr>
        <w:t xml:space="preserve">Rev. </w:t>
      </w:r>
      <w:r w:rsidR="00350F98">
        <w:rPr>
          <w:lang w:bidi="he-IL"/>
        </w:rPr>
        <w:t xml:space="preserve">19:10 and 22:8-9 that the angel has even </w:t>
      </w:r>
      <w:r w:rsidR="00350F98">
        <w:rPr>
          <w:i/>
          <w:iCs/>
          <w:lang w:bidi="he-IL"/>
        </w:rPr>
        <w:t>represented Jesus visually and experientially to John’s imagination</w:t>
      </w:r>
      <w:r w:rsidR="00350F98">
        <w:rPr>
          <w:lang w:bidi="he-IL"/>
        </w:rPr>
        <w:t xml:space="preserve">, a rather startling </w:t>
      </w:r>
      <w:r w:rsidR="00905AFF">
        <w:rPr>
          <w:lang w:bidi="he-IL"/>
        </w:rPr>
        <w:t>radicalization</w:t>
      </w:r>
      <w:r w:rsidR="00350F98">
        <w:rPr>
          <w:lang w:bidi="he-IL"/>
        </w:rPr>
        <w:t xml:space="preserve"> of the role.</w:t>
      </w:r>
      <w:r w:rsidR="00FA0452">
        <w:rPr>
          <w:lang w:bidi="he-IL"/>
        </w:rPr>
        <w:t xml:space="preserve"> There is </w:t>
      </w:r>
      <w:r w:rsidR="00905F5B">
        <w:rPr>
          <w:lang w:bidi="he-IL"/>
        </w:rPr>
        <w:t xml:space="preserve">yet </w:t>
      </w:r>
      <w:r w:rsidR="00FA0452">
        <w:rPr>
          <w:lang w:bidi="he-IL"/>
        </w:rPr>
        <w:t>an</w:t>
      </w:r>
      <w:r w:rsidR="00905AFF">
        <w:rPr>
          <w:lang w:bidi="he-IL"/>
        </w:rPr>
        <w:t xml:space="preserve">other </w:t>
      </w:r>
      <w:r w:rsidR="00FA0452">
        <w:rPr>
          <w:lang w:bidi="he-IL"/>
        </w:rPr>
        <w:t>Easter egg in Rev. 3:12</w:t>
      </w:r>
      <w:r w:rsidR="00905F5B">
        <w:rPr>
          <w:lang w:bidi="he-IL"/>
        </w:rPr>
        <w:t xml:space="preserve">, which </w:t>
      </w:r>
      <w:r w:rsidR="00FA0452">
        <w:rPr>
          <w:lang w:bidi="he-IL"/>
        </w:rPr>
        <w:t>only pops open when one reads Jer</w:t>
      </w:r>
      <w:r w:rsidR="00FA0452" w:rsidRPr="00FA0452">
        <w:rPr>
          <w:lang w:bidi="he-IL"/>
        </w:rPr>
        <w:t>. 23:6</w:t>
      </w:r>
      <w:r w:rsidR="00FA0452">
        <w:rPr>
          <w:lang w:bidi="he-IL"/>
        </w:rPr>
        <w:t xml:space="preserve"> and </w:t>
      </w:r>
      <w:r w:rsidR="00FA0452" w:rsidRPr="00FA0452">
        <w:rPr>
          <w:lang w:bidi="he-IL"/>
        </w:rPr>
        <w:t>33:16</w:t>
      </w:r>
      <w:r w:rsidR="00FA0452">
        <w:rPr>
          <w:lang w:bidi="he-IL"/>
        </w:rPr>
        <w:t xml:space="preserve">: the names of the New Jerusalem and the name of “my God” and “my own new name” turn out to be one and the same name, which any believer would love to have written on their forehead: </w:t>
      </w:r>
      <w:proofErr w:type="spellStart"/>
      <w:r w:rsidR="00FA0452">
        <w:rPr>
          <w:i/>
          <w:iCs/>
          <w:lang w:bidi="he-IL"/>
        </w:rPr>
        <w:t>yhwh</w:t>
      </w:r>
      <w:proofErr w:type="spellEnd"/>
      <w:r w:rsidR="00FA0452">
        <w:rPr>
          <w:i/>
          <w:iCs/>
          <w:lang w:bidi="he-IL"/>
        </w:rPr>
        <w:t xml:space="preserve"> </w:t>
      </w:r>
      <w:proofErr w:type="spellStart"/>
      <w:r w:rsidR="00FA0452">
        <w:rPr>
          <w:i/>
          <w:iCs/>
          <w:lang w:bidi="he-IL"/>
        </w:rPr>
        <w:t>ṣidqēnu</w:t>
      </w:r>
      <w:proofErr w:type="spellEnd"/>
      <w:r w:rsidR="00FA0452">
        <w:rPr>
          <w:i/>
          <w:iCs/>
          <w:lang w:bidi="he-IL"/>
        </w:rPr>
        <w:t>̂</w:t>
      </w:r>
      <w:r w:rsidR="00FA0452">
        <w:rPr>
          <w:lang w:bidi="he-IL"/>
        </w:rPr>
        <w:t xml:space="preserve">, “The </w:t>
      </w:r>
      <w:r w:rsidR="00FA0452" w:rsidRPr="00FA0452">
        <w:rPr>
          <w:smallCaps/>
          <w:lang w:bidi="he-IL"/>
        </w:rPr>
        <w:t>Lord</w:t>
      </w:r>
      <w:r w:rsidR="00FA0452">
        <w:rPr>
          <w:lang w:bidi="he-IL"/>
        </w:rPr>
        <w:t xml:space="preserve"> is our righteousness.” This also retrospectively suggests that the seal that the 144,000 have applied to their foreheads (Rev. 7:3-4) </w:t>
      </w:r>
      <w:r w:rsidR="00905AFF">
        <w:rPr>
          <w:lang w:bidi="he-IL"/>
        </w:rPr>
        <w:t xml:space="preserve">is probably that </w:t>
      </w:r>
      <w:r w:rsidR="00905F5B">
        <w:rPr>
          <w:lang w:bidi="he-IL"/>
        </w:rPr>
        <w:t xml:space="preserve">exact protective </w:t>
      </w:r>
      <w:r w:rsidR="00905AFF">
        <w:rPr>
          <w:lang w:bidi="he-IL"/>
        </w:rPr>
        <w:t>inscription.</w:t>
      </w:r>
    </w:p>
    <w:p w14:paraId="6C757951" w14:textId="4332DDBA" w:rsidR="003B5954" w:rsidRPr="003B5954" w:rsidRDefault="003B5954" w:rsidP="003B5954">
      <w:pPr>
        <w:pStyle w:val="MainHeading"/>
        <w:rPr>
          <w:lang w:bidi="he-IL"/>
        </w:rPr>
      </w:pPr>
      <w:r>
        <w:rPr>
          <w:lang w:bidi="he-IL"/>
        </w:rPr>
        <w:t xml:space="preserve">The </w:t>
      </w:r>
      <w:r>
        <w:rPr>
          <w:lang w:val="el-GR" w:bidi="he-IL"/>
        </w:rPr>
        <w:t>Φωστη</w:t>
      </w:r>
      <w:r w:rsidRPr="003B5954">
        <w:rPr>
          <w:lang w:bidi="he-IL"/>
        </w:rPr>
        <w:t>́</w:t>
      </w:r>
      <w:r>
        <w:rPr>
          <w:lang w:val="el-GR" w:bidi="he-IL"/>
        </w:rPr>
        <w:t>ρ</w:t>
      </w:r>
      <w:r w:rsidRPr="003B5954">
        <w:rPr>
          <w:lang w:bidi="he-IL"/>
        </w:rPr>
        <w:t xml:space="preserve"> </w:t>
      </w:r>
      <w:r>
        <w:rPr>
          <w:lang w:bidi="he-IL"/>
        </w:rPr>
        <w:t xml:space="preserve">and Protector of the New Jerusalem </w:t>
      </w:r>
      <w:r>
        <w:rPr>
          <w:lang w:bidi="he-IL"/>
        </w:rPr>
        <w:br/>
        <w:t>and the Last Judgment</w:t>
      </w:r>
    </w:p>
    <w:p w14:paraId="42DED6C7" w14:textId="4AE17581" w:rsidR="00905F5B" w:rsidRDefault="00905F5B" w:rsidP="00710EB2">
      <w:pPr>
        <w:pStyle w:val="MainText"/>
        <w:rPr>
          <w:lang w:bidi="he-IL"/>
        </w:rPr>
      </w:pPr>
      <w:r>
        <w:rPr>
          <w:lang w:bidi="he-IL"/>
        </w:rPr>
        <w:t>Recognizing that John wants his readers to think of the vision of the Enthroned One upon reading Rev. 21:11</w:t>
      </w:r>
      <w:r w:rsidR="001B1AF8">
        <w:rPr>
          <w:lang w:bidi="he-IL"/>
        </w:rPr>
        <w:t xml:space="preserve"> </w:t>
      </w:r>
      <w:r>
        <w:rPr>
          <w:lang w:bidi="he-IL"/>
        </w:rPr>
        <w:t xml:space="preserve">leads </w:t>
      </w:r>
      <w:r w:rsidR="001B1AF8">
        <w:rPr>
          <w:lang w:bidi="he-IL"/>
        </w:rPr>
        <w:t xml:space="preserve">to </w:t>
      </w:r>
      <w:r>
        <w:rPr>
          <w:lang w:bidi="he-IL"/>
        </w:rPr>
        <w:t xml:space="preserve">the possibility of </w:t>
      </w:r>
      <w:r w:rsidR="001B1AF8">
        <w:rPr>
          <w:lang w:bidi="he-IL"/>
        </w:rPr>
        <w:t>a</w:t>
      </w:r>
      <w:r w:rsidR="00102FC9">
        <w:rPr>
          <w:lang w:bidi="he-IL"/>
        </w:rPr>
        <w:t xml:space="preserve"> radically </w:t>
      </w:r>
      <w:r w:rsidR="001B1AF8">
        <w:rPr>
          <w:lang w:bidi="he-IL"/>
        </w:rPr>
        <w:t>unconventional reading of Rev. 20:1</w:t>
      </w:r>
      <w:r w:rsidR="003867AA">
        <w:rPr>
          <w:lang w:bidi="he-IL"/>
        </w:rPr>
        <w:t>2</w:t>
      </w:r>
      <w:r w:rsidR="001B1AF8">
        <w:rPr>
          <w:lang w:bidi="he-IL"/>
        </w:rPr>
        <w:t xml:space="preserve">-15. </w:t>
      </w:r>
      <w:r w:rsidR="003867AA">
        <w:rPr>
          <w:lang w:bidi="he-IL"/>
        </w:rPr>
        <w:t>In this reading, Rev. 20:12 recapitulates Rev. 20:4-5, and Rev. 20:13-15 recapitulates Rev. 20:7-10. John’s vision of the judgment of the dead according to their works in mortal life, “</w:t>
      </w:r>
      <w:r w:rsidR="003867AA" w:rsidRPr="003867AA">
        <w:rPr>
          <w:lang w:bidi="he-IL"/>
        </w:rPr>
        <w:t xml:space="preserve">by what was written in the books, according to </w:t>
      </w:r>
      <w:r w:rsidR="003867AA">
        <w:rPr>
          <w:lang w:bidi="he-IL"/>
        </w:rPr>
        <w:t>their deeds” (</w:t>
      </w:r>
      <w:r w:rsidR="00F04E5F" w:rsidRPr="00F04E5F">
        <w:rPr>
          <w:lang w:bidi="he-IL"/>
        </w:rPr>
        <w:t xml:space="preserve">ἐκ τῶν </w:t>
      </w:r>
      <w:r w:rsidR="00F04E5F" w:rsidRPr="00F04E5F">
        <w:rPr>
          <w:lang w:val="el-GR" w:bidi="he-IL"/>
        </w:rPr>
        <w:t>γεγραμμένων ἐν τοῖς βιβλίοις</w:t>
      </w:r>
      <w:r w:rsidR="00F04E5F" w:rsidRPr="00F04E5F">
        <w:rPr>
          <w:lang w:bidi="he-IL"/>
        </w:rPr>
        <w:t xml:space="preserve"> </w:t>
      </w:r>
      <w:r w:rsidR="003867AA">
        <w:rPr>
          <w:lang w:val="el-GR" w:bidi="he-IL"/>
        </w:rPr>
        <w:t>κατα</w:t>
      </w:r>
      <w:r w:rsidR="003867AA" w:rsidRPr="003867AA">
        <w:rPr>
          <w:lang w:bidi="he-IL"/>
        </w:rPr>
        <w:t xml:space="preserve">̀ </w:t>
      </w:r>
      <w:r w:rsidR="003867AA">
        <w:rPr>
          <w:lang w:val="el-GR" w:bidi="he-IL"/>
        </w:rPr>
        <w:t>τα</w:t>
      </w:r>
      <w:r w:rsidR="003867AA" w:rsidRPr="003867AA">
        <w:rPr>
          <w:lang w:bidi="he-IL"/>
        </w:rPr>
        <w:t xml:space="preserve">̀ </w:t>
      </w:r>
      <w:r w:rsidR="003867AA">
        <w:rPr>
          <w:lang w:val="el-GR" w:bidi="he-IL"/>
        </w:rPr>
        <w:t>ε</w:t>
      </w:r>
      <w:r w:rsidR="003867AA" w:rsidRPr="003867AA">
        <w:rPr>
          <w:lang w:bidi="he-IL"/>
        </w:rPr>
        <w:t>̓́</w:t>
      </w:r>
      <w:r w:rsidR="003867AA">
        <w:rPr>
          <w:lang w:val="el-GR" w:bidi="he-IL"/>
        </w:rPr>
        <w:t>ργα</w:t>
      </w:r>
      <w:r w:rsidR="003867AA" w:rsidRPr="003867AA">
        <w:rPr>
          <w:lang w:bidi="he-IL"/>
        </w:rPr>
        <w:t xml:space="preserve"> </w:t>
      </w:r>
      <w:r w:rsidR="003867AA">
        <w:rPr>
          <w:lang w:val="el-GR" w:bidi="he-IL"/>
        </w:rPr>
        <w:t>αυ</w:t>
      </w:r>
      <w:r w:rsidR="003867AA" w:rsidRPr="003867AA">
        <w:rPr>
          <w:lang w:bidi="he-IL"/>
        </w:rPr>
        <w:t>̓</w:t>
      </w:r>
      <w:r w:rsidR="003867AA">
        <w:rPr>
          <w:lang w:val="el-GR" w:bidi="he-IL"/>
        </w:rPr>
        <w:t>τω</w:t>
      </w:r>
      <w:r w:rsidR="003867AA" w:rsidRPr="003867AA">
        <w:rPr>
          <w:lang w:bidi="he-IL"/>
        </w:rPr>
        <w:t>͂</w:t>
      </w:r>
      <w:r w:rsidR="003867AA">
        <w:rPr>
          <w:lang w:val="el-GR" w:bidi="he-IL"/>
        </w:rPr>
        <w:t>ν</w:t>
      </w:r>
      <w:r w:rsidR="00741347">
        <w:rPr>
          <w:lang w:bidi="he-IL"/>
        </w:rPr>
        <w:t>, Rev. 20:12</w:t>
      </w:r>
      <w:r w:rsidR="003867AA">
        <w:rPr>
          <w:lang w:bidi="he-IL"/>
        </w:rPr>
        <w:t>)</w:t>
      </w:r>
      <w:r w:rsidR="00AA1D45">
        <w:rPr>
          <w:lang w:bidi="he-IL"/>
        </w:rPr>
        <w:t>,</w:t>
      </w:r>
      <w:r w:rsidR="003867AA">
        <w:rPr>
          <w:lang w:bidi="he-IL"/>
        </w:rPr>
        <w:t xml:space="preserve"> becomes recognizable as a </w:t>
      </w:r>
      <w:r w:rsidR="00113260">
        <w:rPr>
          <w:lang w:bidi="he-IL"/>
        </w:rPr>
        <w:t xml:space="preserve">second </w:t>
      </w:r>
      <w:r w:rsidR="003867AA">
        <w:rPr>
          <w:lang w:bidi="he-IL"/>
        </w:rPr>
        <w:t xml:space="preserve">vision of the same judgment </w:t>
      </w:r>
      <w:r w:rsidR="00AA1D45">
        <w:rPr>
          <w:lang w:bidi="he-IL"/>
        </w:rPr>
        <w:t>John</w:t>
      </w:r>
      <w:r w:rsidR="003867AA">
        <w:rPr>
          <w:lang w:bidi="he-IL"/>
        </w:rPr>
        <w:t xml:space="preserve"> saw (with </w:t>
      </w:r>
      <w:r w:rsidR="00AA1D45">
        <w:rPr>
          <w:lang w:bidi="he-IL"/>
        </w:rPr>
        <w:t>focus</w:t>
      </w:r>
      <w:r w:rsidR="003867AA">
        <w:rPr>
          <w:lang w:bidi="he-IL"/>
        </w:rPr>
        <w:t xml:space="preserve"> on the faithful) </w:t>
      </w:r>
      <w:r w:rsidR="00F04E5F">
        <w:rPr>
          <w:lang w:bidi="he-IL"/>
        </w:rPr>
        <w:t xml:space="preserve">in 20:4 </w:t>
      </w:r>
      <w:r w:rsidR="003867AA">
        <w:rPr>
          <w:lang w:bidi="he-IL"/>
        </w:rPr>
        <w:t>at the inauguration of the thousand years</w:t>
      </w:r>
      <w:r w:rsidR="00741347">
        <w:rPr>
          <w:lang w:bidi="he-IL"/>
        </w:rPr>
        <w:t>. C</w:t>
      </w:r>
      <w:r w:rsidR="003867AA">
        <w:rPr>
          <w:lang w:bidi="he-IL"/>
        </w:rPr>
        <w:t xml:space="preserve">orrespondingly, </w:t>
      </w:r>
      <w:r w:rsidR="00081821">
        <w:rPr>
          <w:lang w:bidi="he-IL"/>
        </w:rPr>
        <w:t xml:space="preserve">when </w:t>
      </w:r>
      <w:r w:rsidR="003867AA">
        <w:rPr>
          <w:lang w:bidi="he-IL"/>
        </w:rPr>
        <w:t xml:space="preserve">John </w:t>
      </w:r>
      <w:r w:rsidR="00081821">
        <w:rPr>
          <w:lang w:bidi="he-IL"/>
        </w:rPr>
        <w:t>sees</w:t>
      </w:r>
      <w:r w:rsidR="003867AA">
        <w:rPr>
          <w:lang w:bidi="he-IL"/>
        </w:rPr>
        <w:t xml:space="preserve"> the dead being </w:t>
      </w:r>
      <w:r w:rsidR="003867AA">
        <w:rPr>
          <w:lang w:bidi="he-IL"/>
        </w:rPr>
        <w:lastRenderedPageBreak/>
        <w:t xml:space="preserve">resurrected </w:t>
      </w:r>
      <w:r w:rsidR="00113260">
        <w:rPr>
          <w:lang w:bidi="he-IL"/>
        </w:rPr>
        <w:t xml:space="preserve">before the great white throne </w:t>
      </w:r>
      <w:r w:rsidR="003867AA">
        <w:rPr>
          <w:lang w:bidi="he-IL"/>
        </w:rPr>
        <w:t xml:space="preserve">and </w:t>
      </w:r>
      <w:r w:rsidR="00113260">
        <w:rPr>
          <w:lang w:bidi="he-IL"/>
        </w:rPr>
        <w:t xml:space="preserve">being </w:t>
      </w:r>
      <w:r w:rsidR="003867AA">
        <w:rPr>
          <w:lang w:bidi="he-IL"/>
        </w:rPr>
        <w:t>judged by</w:t>
      </w:r>
      <w:r w:rsidR="00113260">
        <w:rPr>
          <w:lang w:bidi="he-IL"/>
        </w:rPr>
        <w:t xml:space="preserve"> their deeds (yet again </w:t>
      </w:r>
      <w:r w:rsidR="00113260">
        <w:rPr>
          <w:lang w:val="el-GR" w:bidi="he-IL"/>
        </w:rPr>
        <w:t>κατα</w:t>
      </w:r>
      <w:r w:rsidR="00113260" w:rsidRPr="003867AA">
        <w:rPr>
          <w:lang w:bidi="he-IL"/>
        </w:rPr>
        <w:t xml:space="preserve">̀ </w:t>
      </w:r>
      <w:r w:rsidR="00113260">
        <w:rPr>
          <w:lang w:val="el-GR" w:bidi="he-IL"/>
        </w:rPr>
        <w:t>τα</w:t>
      </w:r>
      <w:r w:rsidR="00113260" w:rsidRPr="003867AA">
        <w:rPr>
          <w:lang w:bidi="he-IL"/>
        </w:rPr>
        <w:t xml:space="preserve">̀ </w:t>
      </w:r>
      <w:r w:rsidR="00113260">
        <w:rPr>
          <w:lang w:val="el-GR" w:bidi="he-IL"/>
        </w:rPr>
        <w:t>ε</w:t>
      </w:r>
      <w:r w:rsidR="00113260" w:rsidRPr="003867AA">
        <w:rPr>
          <w:lang w:bidi="he-IL"/>
        </w:rPr>
        <w:t>̓́</w:t>
      </w:r>
      <w:r w:rsidR="00113260">
        <w:rPr>
          <w:lang w:val="el-GR" w:bidi="he-IL"/>
        </w:rPr>
        <w:t>ργα</w:t>
      </w:r>
      <w:r w:rsidR="00113260" w:rsidRPr="003867AA">
        <w:rPr>
          <w:lang w:bidi="he-IL"/>
        </w:rPr>
        <w:t xml:space="preserve"> </w:t>
      </w:r>
      <w:r w:rsidR="00113260">
        <w:rPr>
          <w:lang w:val="el-GR" w:bidi="he-IL"/>
        </w:rPr>
        <w:t>αυ</w:t>
      </w:r>
      <w:r w:rsidR="00113260" w:rsidRPr="003867AA">
        <w:rPr>
          <w:lang w:bidi="he-IL"/>
        </w:rPr>
        <w:t>̓</w:t>
      </w:r>
      <w:r w:rsidR="00113260">
        <w:rPr>
          <w:lang w:val="el-GR" w:bidi="he-IL"/>
        </w:rPr>
        <w:t>τω</w:t>
      </w:r>
      <w:r w:rsidR="00113260" w:rsidRPr="003867AA">
        <w:rPr>
          <w:lang w:bidi="he-IL"/>
        </w:rPr>
        <w:t>͂</w:t>
      </w:r>
      <w:r w:rsidR="00113260">
        <w:rPr>
          <w:lang w:val="el-GR" w:bidi="he-IL"/>
        </w:rPr>
        <w:t>ν</w:t>
      </w:r>
      <w:r w:rsidR="00741347">
        <w:rPr>
          <w:lang w:bidi="he-IL"/>
        </w:rPr>
        <w:t>, 20:13</w:t>
      </w:r>
      <w:r w:rsidR="00113260">
        <w:rPr>
          <w:lang w:bidi="he-IL"/>
        </w:rPr>
        <w:t>) and being cast into the incinerating lake/pool</w:t>
      </w:r>
      <w:r w:rsidR="00741347">
        <w:rPr>
          <w:rStyle w:val="FootnoteReference"/>
          <w:lang w:bidi="he-IL"/>
        </w:rPr>
        <w:footnoteReference w:id="40"/>
      </w:r>
      <w:r w:rsidR="00113260">
        <w:rPr>
          <w:lang w:bidi="he-IL"/>
        </w:rPr>
        <w:t xml:space="preserve"> of fire (</w:t>
      </w:r>
      <w:r w:rsidR="00113260">
        <w:rPr>
          <w:lang w:val="el-GR" w:bidi="he-IL"/>
        </w:rPr>
        <w:t>λι</w:t>
      </w:r>
      <w:r w:rsidR="00113260" w:rsidRPr="00113260">
        <w:rPr>
          <w:lang w:bidi="he-IL"/>
        </w:rPr>
        <w:t>́</w:t>
      </w:r>
      <w:r w:rsidR="00113260">
        <w:rPr>
          <w:lang w:val="el-GR" w:bidi="he-IL"/>
        </w:rPr>
        <w:t>μνη</w:t>
      </w:r>
      <w:r w:rsidR="00113260" w:rsidRPr="00113260">
        <w:rPr>
          <w:lang w:bidi="he-IL"/>
        </w:rPr>
        <w:t xml:space="preserve"> </w:t>
      </w:r>
      <w:r w:rsidR="00113260">
        <w:rPr>
          <w:lang w:val="el-GR" w:bidi="he-IL"/>
        </w:rPr>
        <w:t>του</w:t>
      </w:r>
      <w:r w:rsidR="00113260" w:rsidRPr="00113260">
        <w:rPr>
          <w:lang w:bidi="he-IL"/>
        </w:rPr>
        <w:t xml:space="preserve">͂ </w:t>
      </w:r>
      <w:r w:rsidR="00113260">
        <w:rPr>
          <w:lang w:val="el-GR" w:bidi="he-IL"/>
        </w:rPr>
        <w:t>πυρο</w:t>
      </w:r>
      <w:r w:rsidR="00113260" w:rsidRPr="00113260">
        <w:rPr>
          <w:lang w:bidi="he-IL"/>
        </w:rPr>
        <w:t>́</w:t>
      </w:r>
      <w:r w:rsidR="00113260">
        <w:rPr>
          <w:lang w:val="el-GR" w:bidi="he-IL"/>
        </w:rPr>
        <w:t>ς</w:t>
      </w:r>
      <w:r w:rsidR="00113260" w:rsidRPr="00113260">
        <w:rPr>
          <w:lang w:bidi="he-IL"/>
        </w:rPr>
        <w:t xml:space="preserve">, </w:t>
      </w:r>
      <w:r w:rsidR="00720E96">
        <w:rPr>
          <w:lang w:bidi="he-IL"/>
        </w:rPr>
        <w:t xml:space="preserve">20:14-15; </w:t>
      </w:r>
      <w:r w:rsidR="00113260">
        <w:rPr>
          <w:lang w:bidi="he-IL"/>
        </w:rPr>
        <w:t xml:space="preserve">cf. 20:10), </w:t>
      </w:r>
      <w:r w:rsidR="00081821">
        <w:rPr>
          <w:lang w:bidi="he-IL"/>
        </w:rPr>
        <w:t>and he interprets this as “</w:t>
      </w:r>
      <w:r w:rsidR="00113260">
        <w:rPr>
          <w:lang w:bidi="he-IL"/>
        </w:rPr>
        <w:t>the second death</w:t>
      </w:r>
      <w:r w:rsidR="00081821">
        <w:rPr>
          <w:lang w:bidi="he-IL"/>
        </w:rPr>
        <w:t>”</w:t>
      </w:r>
      <w:r w:rsidR="00113260">
        <w:rPr>
          <w:lang w:bidi="he-IL"/>
        </w:rPr>
        <w:t xml:space="preserve"> (</w:t>
      </w:r>
      <w:r>
        <w:rPr>
          <w:lang w:bidi="he-IL"/>
        </w:rPr>
        <w:t>c</w:t>
      </w:r>
      <w:r w:rsidR="00113260">
        <w:rPr>
          <w:lang w:bidi="he-IL"/>
        </w:rPr>
        <w:t>f. 20:</w:t>
      </w:r>
      <w:r>
        <w:rPr>
          <w:lang w:bidi="he-IL"/>
        </w:rPr>
        <w:t>5-6</w:t>
      </w:r>
      <w:r w:rsidR="00113260">
        <w:rPr>
          <w:lang w:bidi="he-IL"/>
        </w:rPr>
        <w:t xml:space="preserve">), </w:t>
      </w:r>
      <w:r w:rsidR="00081821">
        <w:rPr>
          <w:lang w:bidi="he-IL"/>
        </w:rPr>
        <w:t xml:space="preserve">this </w:t>
      </w:r>
      <w:r w:rsidR="00113260">
        <w:rPr>
          <w:lang w:bidi="he-IL"/>
        </w:rPr>
        <w:t>becomes recognizable as a second vision</w:t>
      </w:r>
      <w:r w:rsidR="003B5954">
        <w:rPr>
          <w:lang w:bidi="he-IL"/>
        </w:rPr>
        <w:t>, in courtroom imagery,</w:t>
      </w:r>
      <w:r w:rsidR="00113260">
        <w:rPr>
          <w:lang w:bidi="he-IL"/>
        </w:rPr>
        <w:t xml:space="preserve"> of the resurrection of the non-citizens of the New Jerusalem, their </w:t>
      </w:r>
      <w:r w:rsidR="00081821">
        <w:rPr>
          <w:lang w:bidi="he-IL"/>
        </w:rPr>
        <w:t>attempt to commit violence upon</w:t>
      </w:r>
      <w:r>
        <w:rPr>
          <w:lang w:bidi="he-IL"/>
        </w:rPr>
        <w:t xml:space="preserve"> it</w:t>
      </w:r>
      <w:r w:rsidR="00113260">
        <w:rPr>
          <w:lang w:bidi="he-IL"/>
        </w:rPr>
        <w:t>, and their incineration in consuming fire from God.</w:t>
      </w:r>
      <w:r w:rsidR="00E623E6">
        <w:rPr>
          <w:lang w:bidi="he-IL"/>
        </w:rPr>
        <w:t xml:space="preserve"> In this </w:t>
      </w:r>
      <w:r w:rsidR="00AA1D45">
        <w:rPr>
          <w:lang w:bidi="he-IL"/>
        </w:rPr>
        <w:t xml:space="preserve">recapitulatory </w:t>
      </w:r>
      <w:r w:rsidR="00E623E6">
        <w:rPr>
          <w:lang w:bidi="he-IL"/>
        </w:rPr>
        <w:t xml:space="preserve">reading, </w:t>
      </w:r>
      <w:r w:rsidR="00AA1D45">
        <w:rPr>
          <w:lang w:bidi="he-IL"/>
        </w:rPr>
        <w:t>the picture in Rev. 20:11-15</w:t>
      </w:r>
      <w:r w:rsidR="00AA1D45">
        <w:rPr>
          <w:lang w:bidi="he-IL"/>
        </w:rPr>
        <w:t xml:space="preserve"> </w:t>
      </w:r>
      <w:r w:rsidR="00AA1D45">
        <w:rPr>
          <w:lang w:bidi="he-IL"/>
        </w:rPr>
        <w:t>comes into full alignment with</w:t>
      </w:r>
      <w:r w:rsidR="00AA1D45">
        <w:rPr>
          <w:lang w:bidi="he-IL"/>
        </w:rPr>
        <w:t xml:space="preserve"> </w:t>
      </w:r>
      <w:r w:rsidR="00E623E6">
        <w:rPr>
          <w:lang w:bidi="he-IL"/>
        </w:rPr>
        <w:t xml:space="preserve">the Old Testament prophetic picture of the final encounter between God and the implacable enemies of God and the faithful. </w:t>
      </w:r>
    </w:p>
    <w:p w14:paraId="2A9E4C98" w14:textId="79E25A65" w:rsidR="004A17D6" w:rsidRDefault="00720E96" w:rsidP="00710EB2">
      <w:pPr>
        <w:pStyle w:val="MainText"/>
        <w:rPr>
          <w:lang w:bidi="he-IL"/>
        </w:rPr>
      </w:pPr>
      <w:r>
        <w:rPr>
          <w:lang w:bidi="he-IL"/>
        </w:rPr>
        <w:t>Not only Isa. 66:22-24, to which Jesus alludes every time he mentions gehenna (esp. Mk 9:47-48), but also Isa. 26:10-11, quoted</w:t>
      </w:r>
      <w:r w:rsidR="001D5297">
        <w:rPr>
          <w:lang w:bidi="he-IL"/>
        </w:rPr>
        <w:t xml:space="preserve"> in Heb. 10:26-31</w:t>
      </w:r>
      <w:r w:rsidR="00AA1D45">
        <w:rPr>
          <w:lang w:bidi="he-IL"/>
        </w:rPr>
        <w:t>,</w:t>
      </w:r>
      <w:r w:rsidR="001D5297">
        <w:rPr>
          <w:lang w:bidi="he-IL"/>
        </w:rPr>
        <w:t xml:space="preserve"> and Rev. 20:9, picture the total supernatural incineration of would-be attackers of the community of the faithful in the context of the glorious kingdom—in Isaiah 66 this would-be attack occurs in the </w:t>
      </w:r>
      <w:r w:rsidR="001D5297">
        <w:rPr>
          <w:lang w:bidi="he-IL"/>
        </w:rPr>
        <w:t xml:space="preserve">explicit </w:t>
      </w:r>
      <w:r w:rsidR="001D5297">
        <w:rPr>
          <w:lang w:bidi="he-IL"/>
        </w:rPr>
        <w:t>context of “the new heavens and the new earth.”</w:t>
      </w:r>
    </w:p>
    <w:p w14:paraId="15E96BB4" w14:textId="4665B89E" w:rsidR="00720E96" w:rsidRDefault="00281098" w:rsidP="00710EB2">
      <w:pPr>
        <w:pStyle w:val="MainText"/>
        <w:rPr>
          <w:lang w:bidi="he-IL"/>
        </w:rPr>
      </w:pPr>
      <w:r>
        <w:rPr>
          <w:lang w:bidi="he-IL"/>
        </w:rPr>
        <w:t xml:space="preserve">This reading works well within the interpretative model known as new creation millennialism. In new creation millennialism, the coming of the Father and the Lamb </w:t>
      </w:r>
      <w:r w:rsidR="00905F5B">
        <w:rPr>
          <w:lang w:bidi="he-IL"/>
        </w:rPr>
        <w:t xml:space="preserve">in glory </w:t>
      </w:r>
      <w:r>
        <w:rPr>
          <w:lang w:bidi="he-IL"/>
        </w:rPr>
        <w:t xml:space="preserve">to judge the world is understood to be revealed both as a confrontation/battle (6:12-17 || 11:15-19 || 19:11-21) and as a courtroom scene (11:15-18 || 20:4-6). The </w:t>
      </w:r>
      <w:r w:rsidR="000C371C">
        <w:rPr>
          <w:lang w:bidi="he-IL"/>
        </w:rPr>
        <w:t xml:space="preserve">radical </w:t>
      </w:r>
      <w:r>
        <w:rPr>
          <w:lang w:bidi="he-IL"/>
        </w:rPr>
        <w:t>dissolution of the current form of the cosmos</w:t>
      </w:r>
      <w:r w:rsidR="0044732D">
        <w:rPr>
          <w:lang w:bidi="he-IL"/>
        </w:rPr>
        <w:t xml:space="preserve"> that John describes</w:t>
      </w:r>
      <w:r>
        <w:rPr>
          <w:lang w:bidi="he-IL"/>
        </w:rPr>
        <w:t xml:space="preserve"> </w:t>
      </w:r>
      <w:r w:rsidR="00081821">
        <w:rPr>
          <w:lang w:bidi="he-IL"/>
        </w:rPr>
        <w:t xml:space="preserve">in Rev. 6:12-17 </w:t>
      </w:r>
      <w:r>
        <w:rPr>
          <w:lang w:bidi="he-IL"/>
        </w:rPr>
        <w:t xml:space="preserve">precludes any </w:t>
      </w:r>
      <w:r w:rsidR="000C371C">
        <w:rPr>
          <w:lang w:bidi="he-IL"/>
        </w:rPr>
        <w:t xml:space="preserve">unrepentant </w:t>
      </w:r>
      <w:r>
        <w:rPr>
          <w:lang w:bidi="he-IL"/>
        </w:rPr>
        <w:t xml:space="preserve">mortals surviving </w:t>
      </w:r>
      <w:r w:rsidR="000C371C">
        <w:rPr>
          <w:lang w:bidi="he-IL"/>
        </w:rPr>
        <w:t xml:space="preserve">the </w:t>
      </w:r>
      <w:r w:rsidR="00081821">
        <w:rPr>
          <w:lang w:bidi="he-IL"/>
        </w:rPr>
        <w:t xml:space="preserve">world </w:t>
      </w:r>
      <w:r w:rsidR="000C371C">
        <w:rPr>
          <w:lang w:bidi="he-IL"/>
        </w:rPr>
        <w:t xml:space="preserve">judgment </w:t>
      </w:r>
      <w:r>
        <w:rPr>
          <w:lang w:bidi="he-IL"/>
        </w:rPr>
        <w:t>to take part in the thousand years (</w:t>
      </w:r>
      <w:r w:rsidR="00081821">
        <w:rPr>
          <w:lang w:bidi="he-IL"/>
        </w:rPr>
        <w:t xml:space="preserve">cf. Rev. </w:t>
      </w:r>
      <w:r>
        <w:rPr>
          <w:lang w:bidi="he-IL"/>
        </w:rPr>
        <w:t>16:</w:t>
      </w:r>
      <w:r w:rsidR="000C371C">
        <w:rPr>
          <w:lang w:bidi="he-IL"/>
        </w:rPr>
        <w:t xml:space="preserve">18-21 || 19:17-21), and implies that the </w:t>
      </w:r>
      <w:r w:rsidR="00AC0324">
        <w:rPr>
          <w:lang w:bidi="he-IL"/>
        </w:rPr>
        <w:t xml:space="preserve">establishment of the </w:t>
      </w:r>
      <w:r w:rsidR="000C371C">
        <w:rPr>
          <w:lang w:bidi="he-IL"/>
        </w:rPr>
        <w:t xml:space="preserve">new creation </w:t>
      </w:r>
      <w:r w:rsidR="0044732D">
        <w:rPr>
          <w:lang w:bidi="he-IL"/>
        </w:rPr>
        <w:t>will take</w:t>
      </w:r>
      <w:r w:rsidR="000C371C">
        <w:rPr>
          <w:lang w:bidi="he-IL"/>
        </w:rPr>
        <w:t xml:space="preserve"> place immediately afterwards, to </w:t>
      </w:r>
      <w:r w:rsidR="00081821">
        <w:rPr>
          <w:lang w:bidi="he-IL"/>
        </w:rPr>
        <w:t xml:space="preserve">ready the cosmos </w:t>
      </w:r>
      <w:r w:rsidR="000C371C">
        <w:rPr>
          <w:lang w:bidi="he-IL"/>
        </w:rPr>
        <w:t xml:space="preserve">for </w:t>
      </w:r>
      <w:r w:rsidR="00081821">
        <w:rPr>
          <w:lang w:bidi="he-IL"/>
        </w:rPr>
        <w:t xml:space="preserve">the reign of </w:t>
      </w:r>
      <w:r w:rsidR="000C371C">
        <w:rPr>
          <w:lang w:bidi="he-IL"/>
        </w:rPr>
        <w:t>Christ and the faithful.</w:t>
      </w:r>
      <w:r w:rsidR="0044732D">
        <w:rPr>
          <w:rStyle w:val="FootnoteReference"/>
          <w:lang w:bidi="he-IL"/>
        </w:rPr>
        <w:footnoteReference w:id="41"/>
      </w:r>
      <w:r w:rsidR="000C371C">
        <w:rPr>
          <w:lang w:bidi="he-IL"/>
        </w:rPr>
        <w:t xml:space="preserve"> This makes perfect sense because after John is told in Rev. 19:6-9 that the time for the great wedding between Christ and his faithful has come, John sees the New Jerusalem, in the context of the new heavens and earth</w:t>
      </w:r>
      <w:r w:rsidR="00081821">
        <w:rPr>
          <w:lang w:bidi="he-IL"/>
        </w:rPr>
        <w:t xml:space="preserve"> (Rev. 21:1)</w:t>
      </w:r>
      <w:r w:rsidR="000C371C">
        <w:rPr>
          <w:lang w:bidi="he-IL"/>
        </w:rPr>
        <w:t>, coming down from heaven “prepared like a bride for her man” (</w:t>
      </w:r>
      <w:proofErr w:type="spellStart"/>
      <w:r w:rsidR="00F067C2" w:rsidRPr="00F067C2">
        <w:rPr>
          <w:lang w:bidi="he-IL"/>
        </w:rPr>
        <w:t>ἡτοιμ</w:t>
      </w:r>
      <w:proofErr w:type="spellEnd"/>
      <w:r w:rsidR="00F067C2" w:rsidRPr="00F067C2">
        <w:rPr>
          <w:lang w:bidi="he-IL"/>
        </w:rPr>
        <w:t xml:space="preserve">ασμένη </w:t>
      </w:r>
      <w:proofErr w:type="spellStart"/>
      <w:r w:rsidR="00F067C2" w:rsidRPr="00F067C2">
        <w:rPr>
          <w:lang w:bidi="he-IL"/>
        </w:rPr>
        <w:t>ὡς</w:t>
      </w:r>
      <w:proofErr w:type="spellEnd"/>
      <w:r w:rsidR="00F067C2" w:rsidRPr="00F067C2">
        <w:rPr>
          <w:lang w:bidi="he-IL"/>
        </w:rPr>
        <w:t xml:space="preserve"> </w:t>
      </w:r>
      <w:proofErr w:type="spellStart"/>
      <w:r w:rsidR="00F067C2" w:rsidRPr="00F067C2">
        <w:rPr>
          <w:lang w:bidi="he-IL"/>
        </w:rPr>
        <w:t>νύμφη</w:t>
      </w:r>
      <w:proofErr w:type="spellEnd"/>
      <w:r w:rsidR="00F067C2" w:rsidRPr="00F067C2">
        <w:rPr>
          <w:lang w:bidi="he-IL"/>
        </w:rPr>
        <w:t xml:space="preserve"> </w:t>
      </w:r>
      <w:proofErr w:type="spellStart"/>
      <w:r w:rsidR="00F067C2" w:rsidRPr="00F067C2">
        <w:rPr>
          <w:lang w:bidi="he-IL"/>
        </w:rPr>
        <w:t>κεκοσμημένη</w:t>
      </w:r>
      <w:proofErr w:type="spellEnd"/>
      <w:r w:rsidR="00F067C2" w:rsidRPr="00F067C2">
        <w:rPr>
          <w:lang w:bidi="he-IL"/>
        </w:rPr>
        <w:t xml:space="preserve"> τῷ </w:t>
      </w:r>
      <w:proofErr w:type="spellStart"/>
      <w:r w:rsidR="00F067C2" w:rsidRPr="00F067C2">
        <w:rPr>
          <w:lang w:bidi="he-IL"/>
        </w:rPr>
        <w:t>ἀνδρὶ</w:t>
      </w:r>
      <w:proofErr w:type="spellEnd"/>
      <w:r w:rsidR="00F067C2" w:rsidRPr="00F067C2">
        <w:rPr>
          <w:lang w:bidi="he-IL"/>
        </w:rPr>
        <w:t xml:space="preserve"> αὐτῆς</w:t>
      </w:r>
      <w:r w:rsidR="00F067C2">
        <w:rPr>
          <w:lang w:bidi="he-IL"/>
        </w:rPr>
        <w:t>, 21:2), and an angel calls her “the bride, the Lamb’s woman” (</w:t>
      </w:r>
      <w:r w:rsidR="00F067C2">
        <w:rPr>
          <w:lang w:val="el-GR" w:bidi="he-IL"/>
        </w:rPr>
        <w:t>η</w:t>
      </w:r>
      <w:r w:rsidR="00F067C2" w:rsidRPr="00F067C2">
        <w:rPr>
          <w:lang w:bidi="he-IL"/>
        </w:rPr>
        <w:t>̔</w:t>
      </w:r>
      <w:r w:rsidR="00F067C2" w:rsidRPr="00F067C2">
        <w:rPr>
          <w:lang w:bidi="he-IL"/>
        </w:rPr>
        <w:t xml:space="preserve"> </w:t>
      </w:r>
      <w:proofErr w:type="spellStart"/>
      <w:r w:rsidR="00F067C2" w:rsidRPr="00F067C2">
        <w:rPr>
          <w:lang w:bidi="he-IL"/>
        </w:rPr>
        <w:t>νύμφη</w:t>
      </w:r>
      <w:proofErr w:type="spellEnd"/>
      <w:r w:rsidR="00F067C2" w:rsidRPr="00F067C2">
        <w:rPr>
          <w:lang w:bidi="he-IL"/>
        </w:rPr>
        <w:t xml:space="preserve"> </w:t>
      </w:r>
      <w:r w:rsidR="00F067C2">
        <w:rPr>
          <w:lang w:val="el-GR" w:bidi="he-IL"/>
        </w:rPr>
        <w:t>η</w:t>
      </w:r>
      <w:r w:rsidR="00F067C2" w:rsidRPr="00F067C2">
        <w:rPr>
          <w:lang w:bidi="he-IL"/>
        </w:rPr>
        <w:t xml:space="preserve">̔ </w:t>
      </w:r>
      <w:proofErr w:type="spellStart"/>
      <w:r w:rsidR="00F067C2" w:rsidRPr="00F067C2">
        <w:rPr>
          <w:lang w:bidi="he-IL"/>
        </w:rPr>
        <w:t>γυν</w:t>
      </w:r>
      <w:proofErr w:type="spellEnd"/>
      <w:r w:rsidR="00F067C2">
        <w:rPr>
          <w:lang w:val="el-GR" w:bidi="he-IL"/>
        </w:rPr>
        <w:t>η</w:t>
      </w:r>
      <w:r w:rsidR="00F067C2" w:rsidRPr="00F067C2">
        <w:rPr>
          <w:lang w:bidi="he-IL"/>
        </w:rPr>
        <w:t>̀</w:t>
      </w:r>
      <w:r w:rsidR="00F067C2" w:rsidRPr="00F067C2">
        <w:rPr>
          <w:lang w:bidi="he-IL"/>
        </w:rPr>
        <w:t xml:space="preserve"> τοῦ </w:t>
      </w:r>
      <w:proofErr w:type="spellStart"/>
      <w:r w:rsidR="00F067C2" w:rsidRPr="00F067C2">
        <w:rPr>
          <w:lang w:bidi="he-IL"/>
        </w:rPr>
        <w:t>ἀρνίου</w:t>
      </w:r>
      <w:proofErr w:type="spellEnd"/>
      <w:r w:rsidR="00F067C2">
        <w:rPr>
          <w:lang w:bidi="he-IL"/>
        </w:rPr>
        <w:t>, 21:9)</w:t>
      </w:r>
      <w:r w:rsidR="00F067C2" w:rsidRPr="00F067C2">
        <w:rPr>
          <w:lang w:bidi="he-IL"/>
        </w:rPr>
        <w:t>.</w:t>
      </w:r>
      <w:r w:rsidR="003B5954">
        <w:rPr>
          <w:rStyle w:val="FootnoteReference"/>
          <w:lang w:bidi="he-IL"/>
        </w:rPr>
        <w:footnoteReference w:id="42"/>
      </w:r>
      <w:r w:rsidR="00F067C2">
        <w:rPr>
          <w:lang w:bidi="he-IL"/>
        </w:rPr>
        <w:t xml:space="preserve"> It makes no sense at all that the wedding,</w:t>
      </w:r>
      <w:r w:rsidR="00AC0324">
        <w:rPr>
          <w:rStyle w:val="FootnoteReference"/>
          <w:lang w:bidi="he-IL"/>
        </w:rPr>
        <w:footnoteReference w:id="43"/>
      </w:r>
      <w:r w:rsidR="00F067C2">
        <w:rPr>
          <w:lang w:bidi="he-IL"/>
        </w:rPr>
        <w:t xml:space="preserve"> announced</w:t>
      </w:r>
      <w:r w:rsidR="00314C54">
        <w:rPr>
          <w:lang w:bidi="he-IL"/>
        </w:rPr>
        <w:t xml:space="preserve"> as imminent</w:t>
      </w:r>
      <w:r w:rsidR="00F067C2">
        <w:rPr>
          <w:lang w:bidi="he-IL"/>
        </w:rPr>
        <w:t xml:space="preserve"> immediately before John’s vision of Christ’s coming</w:t>
      </w:r>
      <w:r w:rsidR="00AC0324">
        <w:rPr>
          <w:lang w:bidi="he-IL"/>
        </w:rPr>
        <w:t xml:space="preserve"> in glory in 19:11-21</w:t>
      </w:r>
      <w:r w:rsidR="00F067C2">
        <w:rPr>
          <w:lang w:bidi="he-IL"/>
        </w:rPr>
        <w:t xml:space="preserve">, should be imagined as </w:t>
      </w:r>
      <w:r w:rsidR="00314C54">
        <w:rPr>
          <w:lang w:bidi="he-IL"/>
        </w:rPr>
        <w:t>s</w:t>
      </w:r>
      <w:r w:rsidR="00F067C2">
        <w:rPr>
          <w:lang w:bidi="he-IL"/>
        </w:rPr>
        <w:t>till yet to occur a thousand years later.</w:t>
      </w:r>
      <w:r w:rsidR="00314C54">
        <w:rPr>
          <w:lang w:bidi="he-IL"/>
        </w:rPr>
        <w:t xml:space="preserve"> As Rudolph Schnackenburg puts it, </w:t>
      </w:r>
    </w:p>
    <w:p w14:paraId="4CAAFABE" w14:textId="77777777" w:rsidR="00314C54" w:rsidRPr="00737655" w:rsidRDefault="00314C54" w:rsidP="00314C54">
      <w:pPr>
        <w:pStyle w:val="indent"/>
      </w:pPr>
      <w:r w:rsidRPr="00737655">
        <w:lastRenderedPageBreak/>
        <w:t>The Church awaits her Lord until the Parousia, but then all her yearning is assuaged. No room is left for an interval of rule between the Parousia (19.11 seq.) and the marriage of the Lamb (19.7, 9; 21.2).</w:t>
      </w:r>
      <w:r w:rsidRPr="00737655">
        <w:rPr>
          <w:rStyle w:val="FootnoteReference"/>
          <w:rFonts w:asciiTheme="majorBidi" w:hAnsiTheme="majorBidi" w:cstheme="majorBidi"/>
        </w:rPr>
        <w:footnoteReference w:id="44"/>
      </w:r>
      <w:r w:rsidRPr="00737655">
        <w:t xml:space="preserve"> </w:t>
      </w:r>
    </w:p>
    <w:p w14:paraId="15A969F8" w14:textId="0169C77B" w:rsidR="00314C54" w:rsidRDefault="00314C54" w:rsidP="00667D26">
      <w:pPr>
        <w:pStyle w:val="MainText"/>
        <w:rPr>
          <w:lang w:bidi="he-IL"/>
        </w:rPr>
      </w:pPr>
      <w:r>
        <w:rPr>
          <w:lang w:bidi="he-IL"/>
        </w:rPr>
        <w:t xml:space="preserve">This means that the thousand years take place </w:t>
      </w:r>
      <w:r>
        <w:rPr>
          <w:i/>
          <w:iCs/>
          <w:lang w:bidi="he-IL"/>
        </w:rPr>
        <w:t>after</w:t>
      </w:r>
      <w:r>
        <w:rPr>
          <w:lang w:bidi="he-IL"/>
        </w:rPr>
        <w:t xml:space="preserve"> the new creation and </w:t>
      </w:r>
      <w:r>
        <w:rPr>
          <w:i/>
          <w:iCs/>
          <w:lang w:bidi="he-IL"/>
        </w:rPr>
        <w:t>after</w:t>
      </w:r>
      <w:r>
        <w:rPr>
          <w:lang w:bidi="he-IL"/>
        </w:rPr>
        <w:t xml:space="preserve"> the coming to earth of the New Jerusalem, and that “Gog and Magog” are not mortals who miraculously survived the disruption of the whole cosmos and the transition to a new creation. They are instead to be recognized as “the rest of the dead,” whom John said would </w:t>
      </w:r>
      <w:r w:rsidR="0044732D">
        <w:rPr>
          <w:lang w:bidi="he-IL"/>
        </w:rPr>
        <w:t xml:space="preserve">remain in the underworld prison of Hades (cf. 1:17-18) for the same length of time that </w:t>
      </w:r>
      <w:r>
        <w:rPr>
          <w:lang w:bidi="he-IL"/>
        </w:rPr>
        <w:t xml:space="preserve">the devil </w:t>
      </w:r>
      <w:r w:rsidR="00667D26">
        <w:rPr>
          <w:lang w:bidi="he-IL"/>
        </w:rPr>
        <w:t xml:space="preserve">would remain </w:t>
      </w:r>
      <w:r w:rsidR="0044732D">
        <w:rPr>
          <w:lang w:bidi="he-IL"/>
        </w:rPr>
        <w:t xml:space="preserve">imprisoned </w:t>
      </w:r>
      <w:r>
        <w:rPr>
          <w:lang w:bidi="he-IL"/>
        </w:rPr>
        <w:t>in the abyss, namely, “</w:t>
      </w:r>
      <w:r w:rsidR="00635B5F" w:rsidRPr="00635B5F">
        <w:rPr>
          <w:lang w:bidi="he-IL"/>
        </w:rPr>
        <w:t>until the thousand years were ended</w:t>
      </w:r>
      <w:r w:rsidR="00635B5F">
        <w:rPr>
          <w:lang w:bidi="he-IL"/>
        </w:rPr>
        <w:t>” (</w:t>
      </w:r>
      <w:r w:rsidR="00635B5F" w:rsidRPr="00635B5F">
        <w:rPr>
          <w:lang w:bidi="he-IL"/>
        </w:rPr>
        <w:t>ἄχρι τελεσθῇ τὰ χίλια ἔτη</w:t>
      </w:r>
      <w:r w:rsidR="00635B5F">
        <w:rPr>
          <w:lang w:bidi="he-IL"/>
        </w:rPr>
        <w:t xml:space="preserve">, </w:t>
      </w:r>
      <w:r w:rsidR="00213424">
        <w:rPr>
          <w:lang w:bidi="he-IL"/>
        </w:rPr>
        <w:t xml:space="preserve">the identical phrase in </w:t>
      </w:r>
      <w:r w:rsidR="00635B5F">
        <w:rPr>
          <w:lang w:bidi="he-IL"/>
        </w:rPr>
        <w:t>20:3</w:t>
      </w:r>
      <w:r w:rsidR="00213424">
        <w:rPr>
          <w:lang w:bidi="he-IL"/>
        </w:rPr>
        <w:t xml:space="preserve">, </w:t>
      </w:r>
      <w:r w:rsidR="00635B5F">
        <w:rPr>
          <w:lang w:bidi="he-IL"/>
        </w:rPr>
        <w:t xml:space="preserve">5). When we consider the intimate and intentional intertextual relationship between </w:t>
      </w:r>
      <w:r w:rsidR="00667D26">
        <w:rPr>
          <w:lang w:bidi="he-IL"/>
        </w:rPr>
        <w:t>Revelation</w:t>
      </w:r>
      <w:r w:rsidR="00635B5F">
        <w:rPr>
          <w:lang w:bidi="he-IL"/>
        </w:rPr>
        <w:t xml:space="preserve"> and the Isaiah Apocalypse (Isa. 24–27), it becomes unmistakable that John intends Rev. 19:19–20:3 to be read against the backdrop of Isa. 24:21-23, and Rev. 20:7-10 to be read against the backdrop of Isa. 26:10-11 and 27:1-5. In John’s narrative of the end, the unrepentant</w:t>
      </w:r>
      <w:r w:rsidR="00536E29">
        <w:rPr>
          <w:lang w:bidi="he-IL"/>
        </w:rPr>
        <w:t xml:space="preserve"> are</w:t>
      </w:r>
      <w:r w:rsidR="00635B5F">
        <w:rPr>
          <w:lang w:bidi="he-IL"/>
        </w:rPr>
        <w:t xml:space="preserve"> judged and found unworthy of a place in the glorious kingdom of Christ and the faithful</w:t>
      </w:r>
      <w:r w:rsidR="00536E29">
        <w:rPr>
          <w:lang w:bidi="he-IL"/>
        </w:rPr>
        <w:t xml:space="preserve"> (Rev. 11:18 || 20:4</w:t>
      </w:r>
      <w:r w:rsidR="00667D26">
        <w:rPr>
          <w:lang w:bidi="he-IL"/>
        </w:rPr>
        <w:t>, 6</w:t>
      </w:r>
      <w:r w:rsidR="00536E29">
        <w:rPr>
          <w:lang w:bidi="he-IL"/>
        </w:rPr>
        <w:t>)</w:t>
      </w:r>
      <w:r w:rsidR="00635B5F">
        <w:rPr>
          <w:lang w:bidi="he-IL"/>
        </w:rPr>
        <w:t xml:space="preserve">, and </w:t>
      </w:r>
      <w:r w:rsidR="00536E29">
        <w:rPr>
          <w:lang w:bidi="he-IL"/>
        </w:rPr>
        <w:t>are sentenced to</w:t>
      </w:r>
      <w:r w:rsidR="00635B5F">
        <w:rPr>
          <w:lang w:bidi="he-IL"/>
        </w:rPr>
        <w:t xml:space="preserve"> </w:t>
      </w:r>
      <w:r w:rsidR="00536E29">
        <w:rPr>
          <w:lang w:bidi="he-IL"/>
        </w:rPr>
        <w:t>co-</w:t>
      </w:r>
      <w:r w:rsidR="00635B5F">
        <w:rPr>
          <w:lang w:bidi="he-IL"/>
        </w:rPr>
        <w:t>incarceration with the devil (and presumably his fellow rebel angels) in the underworld for a thousand years</w:t>
      </w:r>
      <w:r w:rsidR="00536E29">
        <w:rPr>
          <w:lang w:bidi="he-IL"/>
        </w:rPr>
        <w:t xml:space="preserve"> (</w:t>
      </w:r>
      <w:r w:rsidR="00667D26">
        <w:rPr>
          <w:lang w:bidi="he-IL"/>
        </w:rPr>
        <w:t xml:space="preserve">Rev. </w:t>
      </w:r>
      <w:r w:rsidR="00536E29">
        <w:rPr>
          <w:lang w:bidi="he-IL"/>
        </w:rPr>
        <w:t>20:5).</w:t>
      </w:r>
      <w:r w:rsidR="000122F4">
        <w:rPr>
          <w:rStyle w:val="FootnoteReference"/>
          <w:lang w:bidi="he-IL"/>
        </w:rPr>
        <w:footnoteReference w:id="45"/>
      </w:r>
      <w:r w:rsidR="00536E29">
        <w:rPr>
          <w:lang w:bidi="he-IL"/>
        </w:rPr>
        <w:t xml:space="preserve"> They are then released on parole </w:t>
      </w:r>
      <w:r w:rsidR="00AC0324">
        <w:rPr>
          <w:lang w:bidi="he-IL"/>
        </w:rPr>
        <w:t xml:space="preserve">at the same time as the devil </w:t>
      </w:r>
      <w:r w:rsidR="00536E29">
        <w:rPr>
          <w:lang w:bidi="he-IL"/>
        </w:rPr>
        <w:t xml:space="preserve">is released (20:7-8), but immediately fall back </w:t>
      </w:r>
      <w:r w:rsidR="000122F4">
        <w:rPr>
          <w:lang w:bidi="he-IL"/>
        </w:rPr>
        <w:t>into</w:t>
      </w:r>
      <w:r w:rsidR="00536E29">
        <w:rPr>
          <w:lang w:bidi="he-IL"/>
        </w:rPr>
        <w:t xml:space="preserve"> deception and temptation</w:t>
      </w:r>
      <w:r w:rsidR="00213424">
        <w:rPr>
          <w:lang w:bidi="he-IL"/>
        </w:rPr>
        <w:t>,</w:t>
      </w:r>
      <w:r w:rsidR="00536E29">
        <w:rPr>
          <w:lang w:bidi="he-IL"/>
        </w:rPr>
        <w:t xml:space="preserve"> and </w:t>
      </w:r>
      <w:r w:rsidR="00213424">
        <w:rPr>
          <w:lang w:bidi="he-IL"/>
        </w:rPr>
        <w:t xml:space="preserve">they </w:t>
      </w:r>
      <w:r w:rsidR="00536E29">
        <w:rPr>
          <w:lang w:bidi="he-IL"/>
        </w:rPr>
        <w:t>re-offend, making theirs “a resurrection of judgment” (20:9-10; cf. Jn 5:28-29).</w:t>
      </w:r>
      <w:r w:rsidR="00635B5F">
        <w:rPr>
          <w:lang w:bidi="he-IL"/>
        </w:rPr>
        <w:t xml:space="preserve"> </w:t>
      </w:r>
      <w:r w:rsidR="00536E29">
        <w:rPr>
          <w:lang w:bidi="he-IL"/>
        </w:rPr>
        <w:t xml:space="preserve">It is </w:t>
      </w:r>
      <w:r w:rsidR="00667D26">
        <w:rPr>
          <w:lang w:bidi="he-IL"/>
        </w:rPr>
        <w:t>their</w:t>
      </w:r>
      <w:r w:rsidR="00536E29">
        <w:rPr>
          <w:lang w:bidi="he-IL"/>
        </w:rPr>
        <w:t xml:space="preserve"> breach of parole, </w:t>
      </w:r>
      <w:r w:rsidR="00667D26">
        <w:rPr>
          <w:lang w:bidi="he-IL"/>
        </w:rPr>
        <w:t>the</w:t>
      </w:r>
      <w:r w:rsidR="00536E29">
        <w:rPr>
          <w:lang w:bidi="he-IL"/>
        </w:rPr>
        <w:t xml:space="preserve"> proof of their recidivism, that leads to their irrevocable expungement from the creation, their “second death” (20:6, 13-15). They stood before Christ’s and his Father’s great white throne</w:t>
      </w:r>
      <w:r w:rsidR="0044732D">
        <w:rPr>
          <w:lang w:bidi="he-IL"/>
        </w:rPr>
        <w:t xml:space="preserve"> for judgment for their deeds as mortals</w:t>
      </w:r>
      <w:r w:rsidR="00536E29">
        <w:rPr>
          <w:lang w:bidi="he-IL"/>
        </w:rPr>
        <w:t xml:space="preserve"> at Christ’s </w:t>
      </w:r>
      <w:r w:rsidR="00213424">
        <w:rPr>
          <w:lang w:bidi="he-IL"/>
        </w:rPr>
        <w:t>coming in glory</w:t>
      </w:r>
      <w:r w:rsidR="00536E29">
        <w:rPr>
          <w:lang w:bidi="he-IL"/>
        </w:rPr>
        <w:t xml:space="preserve"> (Rev. 20:4 || </w:t>
      </w:r>
      <w:r w:rsidR="0044732D">
        <w:rPr>
          <w:lang w:bidi="he-IL"/>
        </w:rPr>
        <w:t xml:space="preserve">20:11-12 || </w:t>
      </w:r>
      <w:r w:rsidR="00536E29">
        <w:rPr>
          <w:lang w:bidi="he-IL"/>
        </w:rPr>
        <w:t xml:space="preserve">Dan. 7:9-10), and they stood before it again when they had paid the penalty decreed for them for their unrepentant </w:t>
      </w:r>
      <w:r w:rsidR="0044732D">
        <w:rPr>
          <w:lang w:bidi="he-IL"/>
        </w:rPr>
        <w:t>ways</w:t>
      </w:r>
      <w:r w:rsidR="00536E29">
        <w:rPr>
          <w:lang w:bidi="he-IL"/>
        </w:rPr>
        <w:t xml:space="preserve"> in mortal life and had been released on parole</w:t>
      </w:r>
      <w:r w:rsidR="00667D26">
        <w:rPr>
          <w:lang w:bidi="he-IL"/>
        </w:rPr>
        <w:t>. B</w:t>
      </w:r>
      <w:r w:rsidR="00536E29">
        <w:rPr>
          <w:lang w:bidi="he-IL"/>
        </w:rPr>
        <w:t>ut this time the death penalty they faced was irrevocable (Rev. 20:7-10 || 20:13-15).</w:t>
      </w:r>
    </w:p>
    <w:p w14:paraId="3EA9A24E" w14:textId="11DA586C" w:rsidR="00C03E9D" w:rsidRDefault="00C03E9D" w:rsidP="00C03E9D">
      <w:pPr>
        <w:pStyle w:val="MainHeading"/>
        <w:rPr>
          <w:lang w:bidi="he-IL"/>
        </w:rPr>
      </w:pPr>
      <w:r>
        <w:rPr>
          <w:lang w:bidi="he-IL"/>
        </w:rPr>
        <w:t>Conclusion</w:t>
      </w:r>
    </w:p>
    <w:p w14:paraId="71F729E6" w14:textId="159D7EF3" w:rsidR="007C4867" w:rsidRPr="00D92562" w:rsidRDefault="00667D26" w:rsidP="00C03E9D">
      <w:pPr>
        <w:pStyle w:val="MainText"/>
      </w:pPr>
      <w:r>
        <w:rPr>
          <w:lang w:bidi="he-IL"/>
        </w:rPr>
        <w:t>Th</w:t>
      </w:r>
      <w:r w:rsidR="00C03E9D">
        <w:rPr>
          <w:lang w:bidi="he-IL"/>
        </w:rPr>
        <w:t>e above</w:t>
      </w:r>
      <w:r>
        <w:rPr>
          <w:lang w:bidi="he-IL"/>
        </w:rPr>
        <w:t xml:space="preserve"> reading of the story of the “end” in Revelation not only makes better narrative sense than any other, picking up on John’s detailed textual clues to the presence of recapitulation and to intertextual links to the Isaiah Apocalypse, but it also reattaches</w:t>
      </w:r>
      <w:r w:rsidR="001D7DA3">
        <w:rPr>
          <w:rStyle w:val="FootnoteReference"/>
          <w:lang w:bidi="he-IL"/>
        </w:rPr>
        <w:footnoteReference w:id="46"/>
      </w:r>
      <w:r>
        <w:rPr>
          <w:lang w:bidi="he-IL"/>
        </w:rPr>
        <w:t xml:space="preserve"> John’s </w:t>
      </w:r>
      <w:r w:rsidR="009C20C1">
        <w:rPr>
          <w:lang w:bidi="he-IL"/>
        </w:rPr>
        <w:t xml:space="preserve">courtroom-style </w:t>
      </w:r>
      <w:r>
        <w:rPr>
          <w:lang w:bidi="he-IL"/>
        </w:rPr>
        <w:t xml:space="preserve">“last judgment” story </w:t>
      </w:r>
      <w:r w:rsidR="009C20C1">
        <w:rPr>
          <w:lang w:bidi="he-IL"/>
        </w:rPr>
        <w:t xml:space="preserve">in Rev. 20:13-15 </w:t>
      </w:r>
      <w:r>
        <w:rPr>
          <w:lang w:bidi="he-IL"/>
        </w:rPr>
        <w:t xml:space="preserve">to the story of the end of the implacable enemies in classic Old Testament prophetic texts such as Isa. 26:10-11, 27:1-5, and 66:22-24. The last judgment of the unrepentant is </w:t>
      </w:r>
      <w:r w:rsidR="00213424">
        <w:rPr>
          <w:lang w:bidi="he-IL"/>
        </w:rPr>
        <w:t xml:space="preserve">thus </w:t>
      </w:r>
      <w:r>
        <w:rPr>
          <w:lang w:bidi="he-IL"/>
        </w:rPr>
        <w:t xml:space="preserve">a judgment of their </w:t>
      </w:r>
      <w:r>
        <w:rPr>
          <w:lang w:bidi="he-IL"/>
        </w:rPr>
        <w:lastRenderedPageBreak/>
        <w:t xml:space="preserve">deeds </w:t>
      </w:r>
      <w:r w:rsidR="009C20C1">
        <w:rPr>
          <w:lang w:bidi="he-IL"/>
        </w:rPr>
        <w:t xml:space="preserve">done in resurrection. I have presented a full case for these elements of the new creation millennialism </w:t>
      </w:r>
      <w:r w:rsidR="000122F4">
        <w:rPr>
          <w:lang w:bidi="he-IL"/>
        </w:rPr>
        <w:t xml:space="preserve">interpretative </w:t>
      </w:r>
      <w:r w:rsidR="009C20C1">
        <w:rPr>
          <w:lang w:bidi="he-IL"/>
        </w:rPr>
        <w:t xml:space="preserve">paradigm in my monographs </w:t>
      </w:r>
      <w:r w:rsidR="009C20C1">
        <w:rPr>
          <w:i/>
          <w:iCs/>
          <w:lang w:bidi="he-IL"/>
        </w:rPr>
        <w:t>After the Thousand Years</w:t>
      </w:r>
      <w:r w:rsidR="009C20C1">
        <w:rPr>
          <w:lang w:bidi="he-IL"/>
        </w:rPr>
        <w:t xml:space="preserve"> and </w:t>
      </w:r>
      <w:r w:rsidR="009C20C1">
        <w:rPr>
          <w:i/>
          <w:iCs/>
          <w:lang w:bidi="he-IL"/>
        </w:rPr>
        <w:t>New Creation Millennialism</w:t>
      </w:r>
      <w:r w:rsidR="009C20C1">
        <w:rPr>
          <w:lang w:bidi="he-IL"/>
        </w:rPr>
        <w:t>,</w:t>
      </w:r>
      <w:r w:rsidR="009C20C1">
        <w:rPr>
          <w:rStyle w:val="FootnoteReference"/>
          <w:lang w:bidi="he-IL"/>
        </w:rPr>
        <w:footnoteReference w:id="47"/>
      </w:r>
      <w:r w:rsidR="009C20C1">
        <w:rPr>
          <w:lang w:bidi="he-IL"/>
        </w:rPr>
        <w:t xml:space="preserve"> but I think and hope that a correct understanding </w:t>
      </w:r>
      <w:r w:rsidR="00873BC0">
        <w:rPr>
          <w:lang w:bidi="he-IL"/>
        </w:rPr>
        <w:t>that John is referring to</w:t>
      </w:r>
      <w:r w:rsidR="009C20C1">
        <w:rPr>
          <w:lang w:bidi="he-IL"/>
        </w:rPr>
        <w:t xml:space="preserve"> God as the jasper-like </w:t>
      </w:r>
      <w:r w:rsidR="009C20C1">
        <w:rPr>
          <w:lang w:val="el-GR" w:bidi="he-IL"/>
        </w:rPr>
        <w:t>φωστη</w:t>
      </w:r>
      <w:r w:rsidR="009C20C1" w:rsidRPr="009C20C1">
        <w:rPr>
          <w:lang w:bidi="he-IL"/>
        </w:rPr>
        <w:t>́</w:t>
      </w:r>
      <w:r w:rsidR="009C20C1">
        <w:rPr>
          <w:lang w:val="el-GR" w:bidi="he-IL"/>
        </w:rPr>
        <w:t>ρ</w:t>
      </w:r>
      <w:r w:rsidR="009C20C1">
        <w:rPr>
          <w:lang w:bidi="he-IL"/>
        </w:rPr>
        <w:t xml:space="preserve"> of the New Jerusalem (Rev. 21:11 || 4:3) might add a modicum of further evidence in its favor. </w:t>
      </w:r>
      <w:r w:rsidR="000122F4">
        <w:rPr>
          <w:lang w:bidi="he-IL"/>
        </w:rPr>
        <w:t>The New Jerusalem, lit up with the glory of God</w:t>
      </w:r>
      <w:r w:rsidR="00C03E9D">
        <w:rPr>
          <w:lang w:bidi="he-IL"/>
        </w:rPr>
        <w:t xml:space="preserve">, its </w:t>
      </w:r>
      <w:r w:rsidR="00C03E9D">
        <w:rPr>
          <w:lang w:val="el-GR" w:bidi="he-IL"/>
        </w:rPr>
        <w:t>φωστη</w:t>
      </w:r>
      <w:r w:rsidR="00C03E9D" w:rsidRPr="00C03E9D">
        <w:rPr>
          <w:lang w:bidi="he-IL"/>
        </w:rPr>
        <w:t>́</w:t>
      </w:r>
      <w:r w:rsidR="00C03E9D">
        <w:rPr>
          <w:lang w:val="el-GR" w:bidi="he-IL"/>
        </w:rPr>
        <w:t>ρ</w:t>
      </w:r>
      <w:r w:rsidR="00C03E9D">
        <w:rPr>
          <w:lang w:bidi="he-IL"/>
        </w:rPr>
        <w:t xml:space="preserve">, and having walls made of God’s own protective power, invites recognition as God’s great, white throne, the place of the final confrontation between a God of grace and reconciliation and created </w:t>
      </w:r>
      <w:proofErr w:type="gramStart"/>
      <w:r w:rsidR="00C03E9D">
        <w:rPr>
          <w:lang w:bidi="he-IL"/>
        </w:rPr>
        <w:t>beings</w:t>
      </w:r>
      <w:proofErr w:type="gramEnd"/>
      <w:r w:rsidR="00C03E9D">
        <w:rPr>
          <w:lang w:bidi="he-IL"/>
        </w:rPr>
        <w:t xml:space="preserve"> intent on remaining in enmity (Isa. 27:1-5; 57:14-21).</w:t>
      </w:r>
      <w:r w:rsidR="000122F4">
        <w:rPr>
          <w:lang w:bidi="he-IL"/>
        </w:rPr>
        <w:t xml:space="preserve"> </w:t>
      </w:r>
      <w:r w:rsidR="00873BC0">
        <w:rPr>
          <w:lang w:bidi="he-IL"/>
        </w:rPr>
        <w:t xml:space="preserve">The proof presented here that </w:t>
      </w:r>
      <w:r w:rsidR="00873BC0">
        <w:rPr>
          <w:lang w:val="el-GR" w:bidi="he-IL"/>
        </w:rPr>
        <w:t>φωστη</w:t>
      </w:r>
      <w:r w:rsidR="00873BC0" w:rsidRPr="00873BC0">
        <w:rPr>
          <w:lang w:bidi="he-IL"/>
        </w:rPr>
        <w:t>́</w:t>
      </w:r>
      <w:r w:rsidR="00873BC0">
        <w:rPr>
          <w:lang w:val="el-GR" w:bidi="he-IL"/>
        </w:rPr>
        <w:t>ρ</w:t>
      </w:r>
      <w:r w:rsidR="00873BC0">
        <w:rPr>
          <w:lang w:bidi="he-IL"/>
        </w:rPr>
        <w:t xml:space="preserve"> always means </w:t>
      </w:r>
      <w:r w:rsidR="00873BC0">
        <w:rPr>
          <w:i/>
          <w:iCs/>
          <w:lang w:bidi="he-IL"/>
        </w:rPr>
        <w:t>luminary</w:t>
      </w:r>
      <w:r w:rsidR="00873BC0">
        <w:rPr>
          <w:lang w:bidi="he-IL"/>
        </w:rPr>
        <w:t xml:space="preserve"> and never means </w:t>
      </w:r>
      <w:r w:rsidR="00873BC0">
        <w:rPr>
          <w:i/>
          <w:iCs/>
          <w:lang w:bidi="he-IL"/>
        </w:rPr>
        <w:t>radiance</w:t>
      </w:r>
      <w:r w:rsidR="00873BC0">
        <w:rPr>
          <w:lang w:bidi="he-IL"/>
        </w:rPr>
        <w:t xml:space="preserve"> stands equally solid, no matter what one makes of new creation millennialism.</w:t>
      </w:r>
    </w:p>
    <w:sectPr w:rsidR="007C4867" w:rsidRPr="00D92562" w:rsidSect="002A7C09">
      <w:footerReference w:type="default" r:id="rId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5AC1" w14:textId="77777777" w:rsidR="002A7C09" w:rsidRDefault="002A7C09" w:rsidP="00E019A7">
      <w:pPr>
        <w:spacing w:after="0" w:line="240" w:lineRule="auto"/>
      </w:pPr>
      <w:r>
        <w:separator/>
      </w:r>
    </w:p>
  </w:endnote>
  <w:endnote w:type="continuationSeparator" w:id="0">
    <w:p w14:paraId="7C777D3C" w14:textId="77777777" w:rsidR="002A7C09" w:rsidRDefault="002A7C09" w:rsidP="00E0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obe Jenson Pro">
    <w:altName w:val="Times New Roman"/>
    <w:panose1 w:val="00000000000000000000"/>
    <w:charset w:val="00"/>
    <w:family w:val="roman"/>
    <w:notTrueType/>
    <w:pitch w:val="variable"/>
    <w:sig w:usb0="00000001" w:usb1="5000205B" w:usb2="00000000" w:usb3="00000000" w:csb0="0000009B"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A779" w14:textId="39245211" w:rsidR="00083460" w:rsidRDefault="00083460">
    <w:pPr>
      <w:pStyle w:val="Footer"/>
    </w:pPr>
    <w:r>
      <w:t xml:space="preserve">J. Webb Mealy, </w:t>
    </w:r>
    <w:r w:rsidR="00B87D10">
      <w:t xml:space="preserve">God as the </w:t>
    </w:r>
    <w:r w:rsidR="00B87D10">
      <w:rPr>
        <w:lang w:val="el-GR"/>
      </w:rPr>
      <w:t>Φωστη</w:t>
    </w:r>
    <w:r w:rsidR="00B87D10" w:rsidRPr="00B87D10">
      <w:t>́</w:t>
    </w:r>
    <w:r w:rsidR="00B87D10">
      <w:rPr>
        <w:lang w:val="el-GR"/>
      </w:rPr>
      <w:t>ρ</w:t>
    </w:r>
    <w:r w:rsidR="00B87D10">
      <w:t xml:space="preserve"> of the New Jerusalem</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0AD8" w14:textId="77777777" w:rsidR="002A7C09" w:rsidRDefault="002A7C09" w:rsidP="00E019A7">
      <w:pPr>
        <w:spacing w:after="0" w:line="240" w:lineRule="auto"/>
      </w:pPr>
      <w:r>
        <w:separator/>
      </w:r>
    </w:p>
  </w:footnote>
  <w:footnote w:type="continuationSeparator" w:id="0">
    <w:p w14:paraId="344B6C7A" w14:textId="77777777" w:rsidR="002A7C09" w:rsidRDefault="002A7C09" w:rsidP="00E019A7">
      <w:pPr>
        <w:spacing w:after="0" w:line="240" w:lineRule="auto"/>
      </w:pPr>
      <w:r>
        <w:continuationSeparator/>
      </w:r>
    </w:p>
  </w:footnote>
  <w:footnote w:id="1">
    <w:p w14:paraId="74053BD9" w14:textId="77777777" w:rsidR="00CD678B" w:rsidRPr="009A1744" w:rsidRDefault="00CD678B" w:rsidP="00C910FA">
      <w:pPr>
        <w:pStyle w:val="FootnoteText"/>
      </w:pPr>
      <w:r w:rsidRPr="000C47EB">
        <w:rPr>
          <w:rStyle w:val="FootnoteReference"/>
          <w:sz w:val="24"/>
          <w:szCs w:val="24"/>
        </w:rPr>
        <w:footnoteRef/>
      </w:r>
      <w:r w:rsidRPr="000C47EB">
        <w:t xml:space="preserve"> </w:t>
      </w:r>
      <w:r w:rsidRPr="009A1744">
        <w:t xml:space="preserve">J. Webb Mealy, </w:t>
      </w:r>
      <w:r w:rsidRPr="009A1744">
        <w:rPr>
          <w:i/>
          <w:iCs/>
        </w:rPr>
        <w:t>After the Thousand Years: Resurrection and Judgment in Revelation 20</w:t>
      </w:r>
      <w:r w:rsidRPr="009A1744">
        <w:t xml:space="preserve"> (JSNTSup 70; Sheffield: Sheffield Academic Press, 1992).</w:t>
      </w:r>
    </w:p>
  </w:footnote>
  <w:footnote w:id="2">
    <w:p w14:paraId="5F9E7ECF" w14:textId="766FE845" w:rsidR="00FD1B50" w:rsidRDefault="00FD1B50">
      <w:pPr>
        <w:pStyle w:val="FootnoteText"/>
      </w:pPr>
      <w:r>
        <w:rPr>
          <w:rStyle w:val="FootnoteReference"/>
        </w:rPr>
        <w:footnoteRef/>
      </w:r>
      <w:r>
        <w:t xml:space="preserve"> Scripture quotations, unless otherwise noted, are from t</w:t>
      </w:r>
      <w:r w:rsidRPr="00FD1B50">
        <w:t>he ESV® Bible (The Holy Bible, English Standard Version®), © 2001 by Crossway, a publishing ministry of Good News Publishers. Used by permission. All rights reserved.</w:t>
      </w:r>
    </w:p>
  </w:footnote>
  <w:footnote w:id="3">
    <w:p w14:paraId="2315FE28" w14:textId="27163861" w:rsidR="006015AC" w:rsidRPr="00C05DE5" w:rsidRDefault="006015AC">
      <w:pPr>
        <w:pStyle w:val="FootnoteText"/>
      </w:pPr>
      <w:r>
        <w:rPr>
          <w:rStyle w:val="FootnoteReference"/>
        </w:rPr>
        <w:footnoteRef/>
      </w:r>
      <w:r>
        <w:t xml:space="preserve"> A few older</w:t>
      </w:r>
      <w:r w:rsidR="00E91392">
        <w:t>/traditional</w:t>
      </w:r>
      <w:r>
        <w:t xml:space="preserve"> translations (e.g. KJV, NKJV, ASV) have “her light,” which, despite being ambiguous, does not invite the reader to imagine a light that shines on her, but rather a light that she emits or reflects.</w:t>
      </w:r>
      <w:r w:rsidR="00C05DE5">
        <w:t xml:space="preserve"> My own translation, </w:t>
      </w:r>
      <w:r w:rsidR="00C05DE5">
        <w:rPr>
          <w:i/>
          <w:iCs/>
        </w:rPr>
        <w:t xml:space="preserve">The Spoken English New Testament </w:t>
      </w:r>
      <w:r w:rsidR="00C05DE5">
        <w:t>(Seattle: Amazon, 2022), is the single exception.</w:t>
      </w:r>
    </w:p>
  </w:footnote>
  <w:footnote w:id="4">
    <w:p w14:paraId="39B7D087" w14:textId="5ED5AF41" w:rsidR="00815E33" w:rsidRDefault="00815E33">
      <w:pPr>
        <w:pStyle w:val="FootnoteText"/>
      </w:pPr>
      <w:r>
        <w:rPr>
          <w:rStyle w:val="FootnoteReference"/>
        </w:rPr>
        <w:footnoteRef/>
      </w:r>
      <w:r>
        <w:t xml:space="preserve"> Among the numerous major translations made into 14 modern European languages, the only ones that read </w:t>
      </w:r>
      <w:r>
        <w:rPr>
          <w:lang w:val="el-GR"/>
        </w:rPr>
        <w:t>φωστη</w:t>
      </w:r>
      <w:r w:rsidRPr="00815E33">
        <w:t>́</w:t>
      </w:r>
      <w:r>
        <w:rPr>
          <w:lang w:val="el-GR"/>
        </w:rPr>
        <w:t>ρ</w:t>
      </w:r>
      <w:r>
        <w:t xml:space="preserve"> as “luminary,” rather than “radiance,” are</w:t>
      </w:r>
      <w:r w:rsidR="00991963">
        <w:t xml:space="preserve">, in Russian, </w:t>
      </w:r>
      <w:r>
        <w:t>the Church Slavonic,</w:t>
      </w:r>
      <w:r w:rsidRPr="00815E33">
        <w:t xml:space="preserve"> followed by SYN</w:t>
      </w:r>
      <w:r w:rsidR="00AF034E">
        <w:t xml:space="preserve"> (the </w:t>
      </w:r>
      <w:r w:rsidR="00AF034E" w:rsidRPr="00AF034E">
        <w:t>Russian Synodal Bible</w:t>
      </w:r>
      <w:r w:rsidR="00AF034E">
        <w:t>)</w:t>
      </w:r>
      <w:r w:rsidRPr="00815E33">
        <w:t>, CAS</w:t>
      </w:r>
      <w:r w:rsidR="00BA7FF9">
        <w:t xml:space="preserve"> (</w:t>
      </w:r>
      <w:r w:rsidR="00BA7FF9" w:rsidRPr="00BA7FF9">
        <w:t>Cassian Translation</w:t>
      </w:r>
      <w:r w:rsidR="00BA7FF9">
        <w:t xml:space="preserve"> of the NT)</w:t>
      </w:r>
      <w:r w:rsidRPr="00815E33">
        <w:t xml:space="preserve">, </w:t>
      </w:r>
      <w:r w:rsidR="00BA7FF9">
        <w:t xml:space="preserve">and </w:t>
      </w:r>
      <w:r w:rsidRPr="00815E33">
        <w:t>ELZM</w:t>
      </w:r>
      <w:r w:rsidR="00991963">
        <w:t xml:space="preserve"> (</w:t>
      </w:r>
      <w:r w:rsidR="00991963" w:rsidRPr="00991963">
        <w:t>Elizabethan Bible in Russian</w:t>
      </w:r>
      <w:r w:rsidR="00991963">
        <w:t>, a translation into Church Slavonic in modern spelling)</w:t>
      </w:r>
      <w:r w:rsidRPr="00815E33">
        <w:t xml:space="preserve">, </w:t>
      </w:r>
      <w:r>
        <w:t>which have</w:t>
      </w:r>
      <w:r w:rsidRPr="00815E33">
        <w:t xml:space="preserve"> </w:t>
      </w:r>
      <w:proofErr w:type="spellStart"/>
      <w:r w:rsidRPr="00815E33">
        <w:t>Светило</w:t>
      </w:r>
      <w:proofErr w:type="spellEnd"/>
      <w:r>
        <w:t>, a luminary</w:t>
      </w:r>
      <w:r w:rsidR="00991963">
        <w:t>, and in French,</w:t>
      </w:r>
      <w:r>
        <w:t xml:space="preserve"> </w:t>
      </w:r>
      <w:r w:rsidRPr="00815E33">
        <w:t xml:space="preserve">BAN11 (La Bible </w:t>
      </w:r>
      <w:proofErr w:type="spellStart"/>
      <w:r w:rsidRPr="00815E33">
        <w:t>Annotée</w:t>
      </w:r>
      <w:proofErr w:type="spellEnd"/>
      <w:r w:rsidRPr="00815E33">
        <w:t xml:space="preserve"> Neuchâtel)</w:t>
      </w:r>
      <w:r w:rsidR="00991963">
        <w:t>,</w:t>
      </w:r>
      <w:r w:rsidRPr="00815E33">
        <w:t xml:space="preserve"> and BCC11 (La Bible </w:t>
      </w:r>
      <w:proofErr w:type="spellStart"/>
      <w:r w:rsidRPr="00815E33">
        <w:t>Catholique</w:t>
      </w:r>
      <w:proofErr w:type="spellEnd"/>
      <w:r w:rsidRPr="00815E33">
        <w:t xml:space="preserve"> Crampon)</w:t>
      </w:r>
      <w:r>
        <w:t xml:space="preserve"> in French</w:t>
      </w:r>
      <w:r w:rsidRPr="00815E33">
        <w:t xml:space="preserve">, which have, respectively: “son luminaire </w:t>
      </w:r>
      <w:proofErr w:type="spellStart"/>
      <w:r w:rsidRPr="00815E33">
        <w:t>est</w:t>
      </w:r>
      <w:proofErr w:type="spellEnd"/>
      <w:r w:rsidRPr="00815E33">
        <w:t xml:space="preserve"> semblable à </w:t>
      </w:r>
      <w:proofErr w:type="spellStart"/>
      <w:r w:rsidRPr="00815E33">
        <w:t>une</w:t>
      </w:r>
      <w:proofErr w:type="spellEnd"/>
      <w:r w:rsidRPr="00815E33">
        <w:t xml:space="preserve"> </w:t>
      </w:r>
      <w:proofErr w:type="spellStart"/>
      <w:r w:rsidRPr="00815E33">
        <w:t>pierre</w:t>
      </w:r>
      <w:proofErr w:type="spellEnd"/>
      <w:r w:rsidRPr="00815E33">
        <w:t xml:space="preserve"> très </w:t>
      </w:r>
      <w:proofErr w:type="spellStart"/>
      <w:r w:rsidRPr="00815E33">
        <w:t>précieuse</w:t>
      </w:r>
      <w:proofErr w:type="spellEnd"/>
      <w:r w:rsidRPr="00815E33">
        <w:t>,” i.e. “</w:t>
      </w:r>
      <w:proofErr w:type="spellStart"/>
      <w:r w:rsidRPr="00815E33">
        <w:t>its</w:t>
      </w:r>
      <w:proofErr w:type="spellEnd"/>
      <w:r w:rsidRPr="00815E33">
        <w:t xml:space="preserve"> luminary is like a very precious stone,” and “et </w:t>
      </w:r>
      <w:proofErr w:type="spellStart"/>
      <w:r w:rsidRPr="00815E33">
        <w:t>l'astre</w:t>
      </w:r>
      <w:proofErr w:type="spellEnd"/>
      <w:r w:rsidRPr="00815E33">
        <w:t xml:space="preserve"> qui </w:t>
      </w:r>
      <w:proofErr w:type="spellStart"/>
      <w:r w:rsidRPr="00815E33">
        <w:t>l'éclaire</w:t>
      </w:r>
      <w:proofErr w:type="spellEnd"/>
      <w:r w:rsidRPr="00815E33">
        <w:t xml:space="preserve"> </w:t>
      </w:r>
      <w:proofErr w:type="spellStart"/>
      <w:r w:rsidRPr="00815E33">
        <w:t>est</w:t>
      </w:r>
      <w:proofErr w:type="spellEnd"/>
      <w:r w:rsidRPr="00815E33">
        <w:t xml:space="preserve"> semblable à </w:t>
      </w:r>
      <w:proofErr w:type="spellStart"/>
      <w:r w:rsidRPr="00815E33">
        <w:t>une</w:t>
      </w:r>
      <w:proofErr w:type="spellEnd"/>
      <w:r w:rsidRPr="00815E33">
        <w:t xml:space="preserve"> </w:t>
      </w:r>
      <w:proofErr w:type="spellStart"/>
      <w:r w:rsidRPr="00815E33">
        <w:t>pierre</w:t>
      </w:r>
      <w:proofErr w:type="spellEnd"/>
      <w:r w:rsidRPr="00815E33">
        <w:t xml:space="preserve"> très </w:t>
      </w:r>
      <w:proofErr w:type="spellStart"/>
      <w:r w:rsidRPr="00815E33">
        <w:t>précieuse</w:t>
      </w:r>
      <w:proofErr w:type="spellEnd"/>
      <w:r w:rsidRPr="00815E33">
        <w:t>, ,” i.e. “and the star which illuminates it is like a very precious stone.”</w:t>
      </w:r>
    </w:p>
  </w:footnote>
  <w:footnote w:id="5">
    <w:p w14:paraId="00E53958" w14:textId="1E915A52" w:rsidR="006015AC" w:rsidRDefault="006015AC">
      <w:pPr>
        <w:pStyle w:val="FootnoteText"/>
      </w:pPr>
      <w:r>
        <w:rPr>
          <w:rStyle w:val="FootnoteReference"/>
        </w:rPr>
        <w:footnoteRef/>
      </w:r>
      <w:r>
        <w:t xml:space="preserve"> </w:t>
      </w:r>
      <w:r w:rsidRPr="006015AC">
        <w:rPr>
          <w:i/>
          <w:iCs/>
        </w:rPr>
        <w:t>The Revelation of St John the Divine</w:t>
      </w:r>
      <w:r w:rsidRPr="006015AC">
        <w:t xml:space="preserve"> (Oxford: Clarendon Press, 1964), p. 216</w:t>
      </w:r>
    </w:p>
  </w:footnote>
  <w:footnote w:id="6">
    <w:p w14:paraId="63E830F2" w14:textId="26F5B396" w:rsidR="00A7057E" w:rsidRDefault="00A7057E">
      <w:pPr>
        <w:pStyle w:val="FootnoteText"/>
      </w:pPr>
      <w:r>
        <w:rPr>
          <w:rStyle w:val="FootnoteReference"/>
        </w:rPr>
        <w:footnoteRef/>
      </w:r>
      <w:r>
        <w:t xml:space="preserve"> A search of the TLG database brings up over 1100 hits.</w:t>
      </w:r>
    </w:p>
  </w:footnote>
  <w:footnote w:id="7">
    <w:p w14:paraId="558DBAA4" w14:textId="01F4B238" w:rsidR="00751A34" w:rsidRPr="00751A34" w:rsidRDefault="00751A34">
      <w:pPr>
        <w:pStyle w:val="FootnoteText"/>
      </w:pPr>
      <w:r>
        <w:rPr>
          <w:rStyle w:val="FootnoteReference"/>
        </w:rPr>
        <w:footnoteRef/>
      </w:r>
      <w:r>
        <w:t xml:space="preserve"> Among the passages that come up in a TLG database search for </w:t>
      </w:r>
      <w:r>
        <w:rPr>
          <w:lang w:val="el-GR"/>
        </w:rPr>
        <w:t>φωστη</w:t>
      </w:r>
      <w:r w:rsidRPr="00751A34">
        <w:t>́</w:t>
      </w:r>
      <w:r>
        <w:rPr>
          <w:lang w:val="el-GR"/>
        </w:rPr>
        <w:t>ρ</w:t>
      </w:r>
      <w:r>
        <w:t xml:space="preserve">, </w:t>
      </w:r>
      <w:r w:rsidR="00062CA7">
        <w:t xml:space="preserve">the words </w:t>
      </w:r>
      <w:r w:rsidR="002D3193">
        <w:rPr>
          <w:lang w:val="el-GR"/>
        </w:rPr>
        <w:t>η</w:t>
      </w:r>
      <w:r w:rsidR="002D3193" w:rsidRPr="002D3193">
        <w:t>̔́</w:t>
      </w:r>
      <w:r w:rsidR="002D3193">
        <w:rPr>
          <w:lang w:val="el-GR"/>
        </w:rPr>
        <w:t>λιος</w:t>
      </w:r>
      <w:r w:rsidR="002D3193" w:rsidRPr="002D3193">
        <w:t xml:space="preserve">, </w:t>
      </w:r>
      <w:r w:rsidR="002D3193">
        <w:rPr>
          <w:lang w:val="el-GR"/>
        </w:rPr>
        <w:t>η</w:t>
      </w:r>
      <w:r w:rsidR="002D3193" w:rsidRPr="002D3193">
        <w:t>̔</w:t>
      </w:r>
      <w:r w:rsidR="002D3193">
        <w:rPr>
          <w:lang w:val="el-GR"/>
        </w:rPr>
        <w:t>λιακο</w:t>
      </w:r>
      <w:r w:rsidR="002D3193" w:rsidRPr="002D3193">
        <w:t>́</w:t>
      </w:r>
      <w:r w:rsidR="002D3193">
        <w:rPr>
          <w:lang w:val="el-GR"/>
        </w:rPr>
        <w:t>ς</w:t>
      </w:r>
      <w:r w:rsidR="002D3193" w:rsidRPr="002D3193">
        <w:t xml:space="preserve">, </w:t>
      </w:r>
      <w:r>
        <w:rPr>
          <w:lang w:val="el-GR"/>
        </w:rPr>
        <w:t>σελη</w:t>
      </w:r>
      <w:r w:rsidRPr="00751A34">
        <w:t>́</w:t>
      </w:r>
      <w:r>
        <w:rPr>
          <w:lang w:val="el-GR"/>
        </w:rPr>
        <w:t>νη</w:t>
      </w:r>
      <w:r w:rsidR="00062CA7" w:rsidRPr="00062CA7">
        <w:t>,</w:t>
      </w:r>
      <w:r w:rsidR="002D3193" w:rsidRPr="002D3193">
        <w:t xml:space="preserve"> </w:t>
      </w:r>
      <w:r w:rsidR="002D3193">
        <w:t xml:space="preserve">and </w:t>
      </w:r>
      <w:r w:rsidR="002D3193">
        <w:rPr>
          <w:lang w:val="el-GR"/>
        </w:rPr>
        <w:t>σεληνικο</w:t>
      </w:r>
      <w:r w:rsidR="002D3193" w:rsidRPr="002D3193">
        <w:t>́</w:t>
      </w:r>
      <w:r w:rsidR="002D3193">
        <w:rPr>
          <w:lang w:val="el-GR"/>
        </w:rPr>
        <w:t>ς</w:t>
      </w:r>
      <w:r w:rsidR="002D3193">
        <w:t xml:space="preserve"> come up hundreds of </w:t>
      </w:r>
      <w:r>
        <w:t>times</w:t>
      </w:r>
      <w:r w:rsidR="002D3193">
        <w:t>.</w:t>
      </w:r>
    </w:p>
  </w:footnote>
  <w:footnote w:id="8">
    <w:p w14:paraId="73B7CAB2" w14:textId="4D33AF86" w:rsidR="00BD0903" w:rsidRDefault="00BD0903" w:rsidP="009F4ADC">
      <w:pPr>
        <w:pStyle w:val="FootnoteText"/>
      </w:pPr>
      <w:r>
        <w:rPr>
          <w:rStyle w:val="FootnoteReference"/>
        </w:rPr>
        <w:footnoteRef/>
      </w:r>
      <w:r>
        <w:t xml:space="preserve"> E.g.</w:t>
      </w:r>
      <w:r w:rsidR="009F4ADC">
        <w:t xml:space="preserve"> </w:t>
      </w:r>
      <w:r w:rsidR="009F4ADC" w:rsidRPr="009F4ADC">
        <w:t xml:space="preserve">Nikolaos </w:t>
      </w:r>
      <w:proofErr w:type="spellStart"/>
      <w:r w:rsidR="009F4ADC" w:rsidRPr="009F4ADC">
        <w:t>Eirenikos</w:t>
      </w:r>
      <w:proofErr w:type="spellEnd"/>
      <w:r w:rsidR="009F4ADC" w:rsidRPr="009F4ADC">
        <w:t>, Poem V, in which the choir calls forth the king, calling him, Χα</w:t>
      </w:r>
      <w:proofErr w:type="spellStart"/>
      <w:r w:rsidR="009F4ADC" w:rsidRPr="009F4ADC">
        <w:t>ίρε</w:t>
      </w:r>
      <w:proofErr w:type="spellEnd"/>
      <w:r w:rsidR="009F4ADC" w:rsidRPr="009F4ADC">
        <w:t xml:space="preserve">, </w:t>
      </w:r>
      <w:proofErr w:type="spellStart"/>
      <w:r w:rsidR="009F4ADC" w:rsidRPr="009F4ADC">
        <w:t>φωστήρ</w:t>
      </w:r>
      <w:proofErr w:type="spellEnd"/>
      <w:r w:rsidR="009F4ADC" w:rsidRPr="009F4ADC">
        <w:t xml:space="preserve">, </w:t>
      </w:r>
      <w:proofErr w:type="spellStart"/>
      <w:r w:rsidR="009F4ADC" w:rsidRPr="009F4ADC">
        <w:t>ἐξέλ</w:t>
      </w:r>
      <w:proofErr w:type="spellEnd"/>
      <w:r w:rsidR="009F4ADC" w:rsidRPr="009F4ADC">
        <w:t>αμψας, χα</w:t>
      </w:r>
      <w:proofErr w:type="spellStart"/>
      <w:r w:rsidR="009F4ADC" w:rsidRPr="009F4ADC">
        <w:t>ίρε</w:t>
      </w:r>
      <w:proofErr w:type="spellEnd"/>
      <w:r w:rsidR="009F4ADC" w:rsidRPr="009F4ADC">
        <w:t xml:space="preserve">, </w:t>
      </w:r>
      <w:proofErr w:type="spellStart"/>
      <w:r w:rsidR="009F4ADC" w:rsidRPr="009F4ADC">
        <w:t>φωστήρ</w:t>
      </w:r>
      <w:proofErr w:type="spellEnd"/>
      <w:r w:rsidR="009F4ADC" w:rsidRPr="009F4ADC">
        <w:t xml:space="preserve">, </w:t>
      </w:r>
      <w:proofErr w:type="spellStart"/>
      <w:r w:rsidR="009F4ADC" w:rsidRPr="009F4ADC">
        <w:t>ἐφ</w:t>
      </w:r>
      <w:proofErr w:type="spellEnd"/>
      <w:r w:rsidR="009F4ADC" w:rsidRPr="009F4ADC">
        <w:t xml:space="preserve">άνης, in Wolfram </w:t>
      </w:r>
      <w:proofErr w:type="spellStart"/>
      <w:r w:rsidR="009F4ADC" w:rsidRPr="009F4ADC">
        <w:t>Hörandner</w:t>
      </w:r>
      <w:proofErr w:type="spellEnd"/>
      <w:r w:rsidR="009F4ADC" w:rsidRPr="009F4ADC">
        <w:t xml:space="preserve">, “Court Poetry: Questions of Motifs, Structure and Function,” in </w:t>
      </w:r>
      <w:r w:rsidR="009F4ADC" w:rsidRPr="009F4ADC">
        <w:rPr>
          <w:i/>
          <w:iCs/>
        </w:rPr>
        <w:t>Rhetoric in Byzantium: Papers from the Thirty-fifth Spring Symposium of Byzantine Studies, Exeter College, University of Oxford, March 2001</w:t>
      </w:r>
      <w:r w:rsidR="009F4ADC" w:rsidRPr="009F4ADC">
        <w:t xml:space="preserve"> (ed. Elizabeth Jeffreys; Society for the Promotion of Byzantine Studies Publications, 11; Aldershot, England; Ashgate, 2003), 75-85 (80)</w:t>
      </w:r>
      <w:r w:rsidR="009F4ADC">
        <w:t>; NT apocryphon</w:t>
      </w:r>
      <w:r>
        <w:t xml:space="preserve"> </w:t>
      </w:r>
      <w:r w:rsidR="00FC5918" w:rsidRPr="009F4ADC">
        <w:rPr>
          <w:i/>
          <w:iCs/>
        </w:rPr>
        <w:t xml:space="preserve">Acta </w:t>
      </w:r>
      <w:proofErr w:type="spellStart"/>
      <w:r w:rsidR="00FC5918" w:rsidRPr="009F4ADC">
        <w:rPr>
          <w:i/>
          <w:iCs/>
        </w:rPr>
        <w:t>Xanthippae</w:t>
      </w:r>
      <w:proofErr w:type="spellEnd"/>
      <w:r w:rsidR="00FC5918" w:rsidRPr="009F4ADC">
        <w:rPr>
          <w:i/>
          <w:iCs/>
        </w:rPr>
        <w:t xml:space="preserve"> et </w:t>
      </w:r>
      <w:proofErr w:type="spellStart"/>
      <w:r w:rsidR="00FC5918" w:rsidRPr="009F4ADC">
        <w:rPr>
          <w:i/>
          <w:iCs/>
        </w:rPr>
        <w:t>Polyxenae</w:t>
      </w:r>
      <w:proofErr w:type="spellEnd"/>
      <w:r w:rsidR="00FC5918">
        <w:t xml:space="preserve"> (~III/IV) 6.1 calls Paul the apostle </w:t>
      </w:r>
      <w:proofErr w:type="spellStart"/>
      <w:r w:rsidR="00FC5918">
        <w:t>κῆρυξ</w:t>
      </w:r>
      <w:proofErr w:type="spellEnd"/>
      <w:r w:rsidR="00FC5918">
        <w:t xml:space="preserve"> καὶ </w:t>
      </w:r>
      <w:proofErr w:type="spellStart"/>
      <w:r w:rsidR="00FC5918">
        <w:t>διδάσκ</w:t>
      </w:r>
      <w:proofErr w:type="spellEnd"/>
      <w:r w:rsidR="00FC5918">
        <w:t xml:space="preserve">αλος καὶ </w:t>
      </w:r>
      <w:proofErr w:type="spellStart"/>
      <w:r w:rsidR="00FC5918">
        <w:t>φώστηρ</w:t>
      </w:r>
      <w:proofErr w:type="spellEnd"/>
      <w:r w:rsidR="00FC5918">
        <w:t xml:space="preserve"> τῆς οἰκουμένης; Clement of Alexandria</w:t>
      </w:r>
      <w:r w:rsidR="00FC5918" w:rsidRPr="009F4ADC">
        <w:rPr>
          <w:i/>
          <w:iCs/>
        </w:rPr>
        <w:t xml:space="preserve">, </w:t>
      </w:r>
      <w:proofErr w:type="spellStart"/>
      <w:r w:rsidR="00FC5918" w:rsidRPr="009F4ADC">
        <w:rPr>
          <w:i/>
          <w:iCs/>
        </w:rPr>
        <w:t>Protrepticus</w:t>
      </w:r>
      <w:proofErr w:type="spellEnd"/>
      <w:r w:rsidR="00FC5918">
        <w:t xml:space="preserve"> 6, praises the </w:t>
      </w:r>
      <w:proofErr w:type="spellStart"/>
      <w:r w:rsidR="00FC5918">
        <w:t>Pythagorians</w:t>
      </w:r>
      <w:proofErr w:type="spellEnd"/>
      <w:r w:rsidR="00FC5918">
        <w:t xml:space="preserve"> for describing God as “…the light of all his works in heaven and the father of all things,” </w:t>
      </w:r>
      <w:proofErr w:type="spellStart"/>
      <w:r w:rsidR="00FC5918">
        <w:t>ἔργων</w:t>
      </w:r>
      <w:proofErr w:type="spellEnd"/>
      <w:r w:rsidR="00FC5918">
        <w:t xml:space="preserve"> ἁπάντων ἐν οὐρα</w:t>
      </w:r>
      <w:proofErr w:type="spellStart"/>
      <w:r w:rsidR="00FC5918">
        <w:t>νῷ</w:t>
      </w:r>
      <w:proofErr w:type="spellEnd"/>
      <w:r w:rsidR="00FC5918">
        <w:t xml:space="preserve"> φωστὴρ καὶ πάντων πα</w:t>
      </w:r>
      <w:proofErr w:type="spellStart"/>
      <w:r w:rsidR="00FC5918">
        <w:t>τήρ</w:t>
      </w:r>
      <w:proofErr w:type="spellEnd"/>
      <w:r w:rsidR="009F4ADC">
        <w:t xml:space="preserve">; </w:t>
      </w:r>
      <w:proofErr w:type="spellStart"/>
      <w:r>
        <w:t>Theodoret</w:t>
      </w:r>
      <w:proofErr w:type="spellEnd"/>
      <w:r>
        <w:t xml:space="preserve"> refers St. Basil the Great as</w:t>
      </w:r>
      <w:r w:rsidRPr="00BD0903">
        <w:t xml:space="preserve"> ὁ τῆς οἰκουμένης φωστήρ</w:t>
      </w:r>
      <w:r>
        <w:t xml:space="preserve"> (Hist. Eccl. 4.19.1).</w:t>
      </w:r>
    </w:p>
  </w:footnote>
  <w:footnote w:id="9">
    <w:p w14:paraId="3C794832" w14:textId="2C090FFD" w:rsidR="00201770" w:rsidRPr="000B42C0" w:rsidRDefault="00201770">
      <w:pPr>
        <w:pStyle w:val="FootnoteText"/>
      </w:pPr>
      <w:r>
        <w:rPr>
          <w:rStyle w:val="FootnoteReference"/>
        </w:rPr>
        <w:footnoteRef/>
      </w:r>
      <w:r>
        <w:t xml:space="preserve"> </w:t>
      </w:r>
      <w:r w:rsidR="000B42C0">
        <w:t xml:space="preserve">Hesychius </w:t>
      </w:r>
      <w:proofErr w:type="spellStart"/>
      <w:r w:rsidR="00C31FFD" w:rsidRPr="00C31FFD">
        <w:t>Lexicographus</w:t>
      </w:r>
      <w:proofErr w:type="spellEnd"/>
      <w:r w:rsidR="00C31FFD" w:rsidRPr="00C31FFD">
        <w:t xml:space="preserve"> </w:t>
      </w:r>
      <w:r w:rsidR="00C31FFD">
        <w:t xml:space="preserve">of Alexandria (IV–V CE) </w:t>
      </w:r>
      <w:r w:rsidR="000B42C0">
        <w:t xml:space="preserve">has in his Greek dictionary for the word </w:t>
      </w:r>
      <w:r w:rsidR="000B42C0">
        <w:rPr>
          <w:lang w:val="el-GR"/>
        </w:rPr>
        <w:t>φωστη</w:t>
      </w:r>
      <w:r w:rsidR="000B42C0" w:rsidRPr="00C31FFD">
        <w:t>́</w:t>
      </w:r>
      <w:r w:rsidR="000B42C0">
        <w:rPr>
          <w:lang w:val="el-GR"/>
        </w:rPr>
        <w:t>ρ</w:t>
      </w:r>
      <w:r w:rsidR="000B42C0" w:rsidRPr="000B42C0">
        <w:t>,</w:t>
      </w:r>
      <w:r w:rsidR="00C31FFD">
        <w:t xml:space="preserve"> the single word</w:t>
      </w:r>
      <w:r w:rsidR="000B42C0" w:rsidRPr="000B42C0">
        <w:t xml:space="preserve"> </w:t>
      </w:r>
      <w:r w:rsidR="000B42C0">
        <w:rPr>
          <w:lang w:val="el-GR"/>
        </w:rPr>
        <w:t>θυρι</w:t>
      </w:r>
      <w:r w:rsidR="000B42C0" w:rsidRPr="000B42C0">
        <w:t>́</w:t>
      </w:r>
      <w:r w:rsidR="000B42C0">
        <w:rPr>
          <w:lang w:val="el-GR"/>
        </w:rPr>
        <w:t>ς</w:t>
      </w:r>
      <w:r w:rsidR="000B42C0">
        <w:t xml:space="preserve">, </w:t>
      </w:r>
      <w:r w:rsidR="00C31FFD">
        <w:t xml:space="preserve">i.e. </w:t>
      </w:r>
      <w:r w:rsidR="000B42C0">
        <w:t>a window. Note that, as relates to a room, a window is a light source, not a radiance</w:t>
      </w:r>
      <w:r w:rsidR="00C31FFD">
        <w:t>, and not light as such.</w:t>
      </w:r>
    </w:p>
  </w:footnote>
  <w:footnote w:id="10">
    <w:p w14:paraId="7856CE11" w14:textId="19D8CB60" w:rsidR="006C3447" w:rsidRPr="006C3447" w:rsidRDefault="006C3447">
      <w:pPr>
        <w:pStyle w:val="FootnoteText"/>
      </w:pPr>
      <w:r>
        <w:rPr>
          <w:rStyle w:val="FootnoteReference"/>
        </w:rPr>
        <w:footnoteRef/>
      </w:r>
      <w:r w:rsidRPr="000B42C0">
        <w:t xml:space="preserve"> Vettius Valens, </w:t>
      </w:r>
      <w:proofErr w:type="spellStart"/>
      <w:r w:rsidRPr="000B42C0">
        <w:rPr>
          <w:i/>
          <w:iCs/>
        </w:rPr>
        <w:t>Vettii</w:t>
      </w:r>
      <w:proofErr w:type="spellEnd"/>
      <w:r w:rsidRPr="000B42C0">
        <w:rPr>
          <w:i/>
          <w:iCs/>
        </w:rPr>
        <w:t xml:space="preserve"> </w:t>
      </w:r>
      <w:proofErr w:type="spellStart"/>
      <w:r w:rsidRPr="000B42C0">
        <w:rPr>
          <w:i/>
          <w:iCs/>
        </w:rPr>
        <w:t>Valentis</w:t>
      </w:r>
      <w:proofErr w:type="spellEnd"/>
      <w:r w:rsidRPr="000B42C0">
        <w:rPr>
          <w:i/>
          <w:iCs/>
        </w:rPr>
        <w:t xml:space="preserve"> </w:t>
      </w:r>
      <w:proofErr w:type="spellStart"/>
      <w:r w:rsidRPr="000B42C0">
        <w:rPr>
          <w:i/>
          <w:iCs/>
        </w:rPr>
        <w:t>Anthologiarum</w:t>
      </w:r>
      <w:proofErr w:type="spellEnd"/>
      <w:r w:rsidRPr="000B42C0">
        <w:rPr>
          <w:i/>
          <w:iCs/>
        </w:rPr>
        <w:t xml:space="preserve"> Libri</w:t>
      </w:r>
      <w:r w:rsidRPr="000B42C0">
        <w:t xml:space="preserve"> (ed. </w:t>
      </w:r>
      <w:r w:rsidRPr="006C3447">
        <w:t xml:space="preserve">W. Kroll; Berlin: </w:t>
      </w:r>
      <w:proofErr w:type="spellStart"/>
      <w:r>
        <w:t>Weidmanns</w:t>
      </w:r>
      <w:proofErr w:type="spellEnd"/>
      <w:r>
        <w:t xml:space="preserve">, </w:t>
      </w:r>
      <w:r w:rsidRPr="006C3447">
        <w:t>1908), p. 110 l. 22, cited</w:t>
      </w:r>
      <w:r>
        <w:t xml:space="preserve"> as Vett. Val. in lexicons.</w:t>
      </w:r>
    </w:p>
  </w:footnote>
  <w:footnote w:id="11">
    <w:p w14:paraId="1CBDF577" w14:textId="7C6018A2" w:rsidR="00C014A4" w:rsidRDefault="00C014A4">
      <w:pPr>
        <w:pStyle w:val="FootnoteText"/>
      </w:pPr>
      <w:r>
        <w:rPr>
          <w:rStyle w:val="FootnoteReference"/>
        </w:rPr>
        <w:footnoteRef/>
      </w:r>
      <w:r>
        <w:t xml:space="preserve"> </w:t>
      </w:r>
      <w:r w:rsidRPr="00C014A4">
        <w:t xml:space="preserve">If </w:t>
      </w:r>
      <w:proofErr w:type="spellStart"/>
      <w:r w:rsidRPr="00C014A4">
        <w:t>φωστήρ</w:t>
      </w:r>
      <w:proofErr w:type="spellEnd"/>
      <w:r w:rsidRPr="00C014A4">
        <w:t xml:space="preserve"> </w:t>
      </w:r>
      <w:r>
        <w:t>were</w:t>
      </w:r>
      <w:r w:rsidRPr="00C014A4">
        <w:t xml:space="preserve"> naturally susceptible of meaning the light that comes from something/somebody, then among </w:t>
      </w:r>
      <w:r>
        <w:t>the 1100+ instances</w:t>
      </w:r>
      <w:r w:rsidRPr="00C014A4">
        <w:t xml:space="preserve">, it is to be expected that one would find the expression </w:t>
      </w:r>
      <w:proofErr w:type="spellStart"/>
      <w:r w:rsidRPr="00C014A4">
        <w:t>φωστὴρ</w:t>
      </w:r>
      <w:proofErr w:type="spellEnd"/>
      <w:r w:rsidRPr="00C014A4">
        <w:t xml:space="preserve"> α</w:t>
      </w:r>
      <w:proofErr w:type="spellStart"/>
      <w:r w:rsidRPr="00C014A4">
        <w:t>ὐτῶν</w:t>
      </w:r>
      <w:proofErr w:type="spellEnd"/>
      <w:r w:rsidRPr="00C014A4">
        <w:t>/α</w:t>
      </w:r>
      <w:proofErr w:type="spellStart"/>
      <w:r w:rsidRPr="00C014A4">
        <w:t>ὐτου</w:t>
      </w:r>
      <w:proofErr w:type="spellEnd"/>
      <w:r w:rsidRPr="00C014A4">
        <w:t xml:space="preserve">͂, “their/his/its </w:t>
      </w:r>
      <w:proofErr w:type="spellStart"/>
      <w:r w:rsidRPr="00C014A4">
        <w:t>φωστήρ</w:t>
      </w:r>
      <w:proofErr w:type="spellEnd"/>
      <w:r w:rsidRPr="00C014A4">
        <w:t>.” TLG contains no such instance.</w:t>
      </w:r>
    </w:p>
  </w:footnote>
  <w:footnote w:id="12">
    <w:p w14:paraId="276595E7" w14:textId="5DC85381" w:rsidR="005A17DE" w:rsidRPr="00A7057E" w:rsidRDefault="005A17DE">
      <w:pPr>
        <w:pStyle w:val="FootnoteText"/>
      </w:pPr>
      <w:r>
        <w:rPr>
          <w:rStyle w:val="FootnoteReference"/>
        </w:rPr>
        <w:footnoteRef/>
      </w:r>
      <w:r>
        <w:t xml:space="preserve"> </w:t>
      </w:r>
      <w:r w:rsidRPr="005A17DE">
        <w:t xml:space="preserve">E.g. Le Grand Bailly, Robinson, Grimm–Wilke–Thayer, Ebeling, Friberg–Friberg–Miller, LSJ, BAGD, </w:t>
      </w:r>
      <w:proofErr w:type="spellStart"/>
      <w:r w:rsidRPr="005A17DE">
        <w:t>Spiq</w:t>
      </w:r>
      <w:proofErr w:type="spellEnd"/>
      <w:r w:rsidR="003433BC">
        <w:t>.</w:t>
      </w:r>
    </w:p>
  </w:footnote>
  <w:footnote w:id="13">
    <w:p w14:paraId="67F19A41" w14:textId="53C01579" w:rsidR="00475132" w:rsidRDefault="00475132" w:rsidP="00475132">
      <w:pPr>
        <w:pStyle w:val="FootnoteText"/>
      </w:pPr>
      <w:r>
        <w:rPr>
          <w:rStyle w:val="FootnoteReference"/>
        </w:rPr>
        <w:footnoteRef/>
      </w:r>
      <w:r>
        <w:t xml:space="preserve"> From </w:t>
      </w:r>
      <w:proofErr w:type="spellStart"/>
      <w:r w:rsidRPr="0033698D">
        <w:t>Bibliorum</w:t>
      </w:r>
      <w:proofErr w:type="spellEnd"/>
      <w:r w:rsidRPr="0033698D">
        <w:t xml:space="preserve"> </w:t>
      </w:r>
      <w:proofErr w:type="spellStart"/>
      <w:r w:rsidRPr="0033698D">
        <w:t>Sacrorum</w:t>
      </w:r>
      <w:proofErr w:type="spellEnd"/>
      <w:r w:rsidRPr="0033698D">
        <w:t xml:space="preserve"> </w:t>
      </w:r>
      <w:proofErr w:type="spellStart"/>
      <w:r w:rsidRPr="0033698D">
        <w:t>Latinæ</w:t>
      </w:r>
      <w:proofErr w:type="spellEnd"/>
      <w:r w:rsidRPr="0033698D">
        <w:t xml:space="preserve"> </w:t>
      </w:r>
      <w:proofErr w:type="spellStart"/>
      <w:r w:rsidRPr="0033698D">
        <w:t>versiones</w:t>
      </w:r>
      <w:proofErr w:type="spellEnd"/>
      <w:r w:rsidRPr="0033698D">
        <w:t xml:space="preserve"> </w:t>
      </w:r>
      <w:proofErr w:type="spellStart"/>
      <w:r w:rsidRPr="0033698D">
        <w:t>antiquæ</w:t>
      </w:r>
      <w:proofErr w:type="spellEnd"/>
      <w:r w:rsidRPr="0033698D">
        <w:t xml:space="preserve">; </w:t>
      </w:r>
      <w:proofErr w:type="spellStart"/>
      <w:r w:rsidRPr="0033698D">
        <w:t>seu</w:t>
      </w:r>
      <w:proofErr w:type="spellEnd"/>
      <w:r w:rsidRPr="0033698D">
        <w:t xml:space="preserve">, Vetus </w:t>
      </w:r>
      <w:proofErr w:type="spellStart"/>
      <w:r w:rsidRPr="0033698D">
        <w:t>Italica</w:t>
      </w:r>
      <w:proofErr w:type="spellEnd"/>
      <w:r w:rsidRPr="0033698D">
        <w:t xml:space="preserve">, et </w:t>
      </w:r>
      <w:proofErr w:type="spellStart"/>
      <w:r w:rsidRPr="0033698D">
        <w:t>cæteræ</w:t>
      </w:r>
      <w:proofErr w:type="spellEnd"/>
      <w:r w:rsidRPr="0033698D">
        <w:t xml:space="preserve"> </w:t>
      </w:r>
      <w:proofErr w:type="spellStart"/>
      <w:r w:rsidRPr="0033698D">
        <w:t>quæcunque</w:t>
      </w:r>
      <w:proofErr w:type="spellEnd"/>
      <w:r w:rsidRPr="0033698D">
        <w:t xml:space="preserve"> in </w:t>
      </w:r>
      <w:proofErr w:type="spellStart"/>
      <w:r w:rsidRPr="0033698D">
        <w:t>codicibus</w:t>
      </w:r>
      <w:proofErr w:type="spellEnd"/>
      <w:r w:rsidRPr="0033698D">
        <w:t xml:space="preserve"> mss. </w:t>
      </w:r>
      <w:proofErr w:type="spellStart"/>
      <w:r w:rsidRPr="0033698D">
        <w:t>antiquorum</w:t>
      </w:r>
      <w:proofErr w:type="spellEnd"/>
      <w:r w:rsidRPr="0033698D">
        <w:t xml:space="preserve"> libris </w:t>
      </w:r>
      <w:proofErr w:type="spellStart"/>
      <w:r w:rsidRPr="0033698D">
        <w:t>reperiri</w:t>
      </w:r>
      <w:proofErr w:type="spellEnd"/>
      <w:r w:rsidRPr="0033698D">
        <w:t xml:space="preserve"> </w:t>
      </w:r>
      <w:proofErr w:type="spellStart"/>
      <w:r w:rsidRPr="0033698D">
        <w:t>potuerunt</w:t>
      </w:r>
      <w:proofErr w:type="spellEnd"/>
      <w:r w:rsidRPr="0033698D">
        <w:t xml:space="preserve">: </w:t>
      </w:r>
      <w:proofErr w:type="spellStart"/>
      <w:r w:rsidRPr="0033698D">
        <w:t>quæ</w:t>
      </w:r>
      <w:proofErr w:type="spellEnd"/>
      <w:r w:rsidRPr="0033698D">
        <w:t xml:space="preserve"> cum Vulgata Latina, cum </w:t>
      </w:r>
      <w:proofErr w:type="spellStart"/>
      <w:r w:rsidRPr="0033698D">
        <w:t>textu</w:t>
      </w:r>
      <w:proofErr w:type="spellEnd"/>
      <w:r w:rsidRPr="0033698D">
        <w:t xml:space="preserve"> </w:t>
      </w:r>
      <w:proofErr w:type="spellStart"/>
      <w:r w:rsidRPr="0033698D">
        <w:t>Græco</w:t>
      </w:r>
      <w:proofErr w:type="spellEnd"/>
      <w:r w:rsidRPr="0033698D">
        <w:t xml:space="preserve"> </w:t>
      </w:r>
      <w:proofErr w:type="spellStart"/>
      <w:r w:rsidRPr="0033698D">
        <w:t>comparantur</w:t>
      </w:r>
      <w:proofErr w:type="spellEnd"/>
      <w:r>
        <w:t xml:space="preserve"> (ed. Peter Sabatier; </w:t>
      </w:r>
      <w:r w:rsidRPr="0033698D">
        <w:t>Paris</w:t>
      </w:r>
      <w:r>
        <w:t>:</w:t>
      </w:r>
      <w:r w:rsidRPr="0033698D">
        <w:t xml:space="preserve"> </w:t>
      </w:r>
      <w:proofErr w:type="spellStart"/>
      <w:r w:rsidRPr="0033698D">
        <w:t>Franciscum</w:t>
      </w:r>
      <w:proofErr w:type="spellEnd"/>
      <w:r w:rsidRPr="0033698D">
        <w:t xml:space="preserve"> Didot, 1751</w:t>
      </w:r>
      <w:r>
        <w:t xml:space="preserve">), III, 1032 Accessed online 2/16/2024 at </w:t>
      </w:r>
      <w:r w:rsidRPr="0033698D">
        <w:t>https://babel.hathitrust.org/cgi/pt?id=nyp.33433004953075&amp;seq=1074</w:t>
      </w:r>
    </w:p>
  </w:footnote>
  <w:footnote w:id="14">
    <w:p w14:paraId="79B53DEC" w14:textId="77777777" w:rsidR="003A6643" w:rsidRDefault="003A6643" w:rsidP="003A6643">
      <w:pPr>
        <w:pStyle w:val="FootnoteText"/>
      </w:pPr>
      <w:r>
        <w:rPr>
          <w:rStyle w:val="FootnoteReference"/>
        </w:rPr>
        <w:footnoteRef/>
      </w:r>
      <w:r>
        <w:t xml:space="preserve"> </w:t>
      </w:r>
      <w:r w:rsidRPr="004A5F4B">
        <w:rPr>
          <w:i/>
          <w:iCs/>
        </w:rPr>
        <w:t>Ibid</w:t>
      </w:r>
      <w:r>
        <w:t>.</w:t>
      </w:r>
    </w:p>
  </w:footnote>
  <w:footnote w:id="15">
    <w:p w14:paraId="07DD7B80" w14:textId="38C1AC2D" w:rsidR="002F0CCE" w:rsidRDefault="002F0CCE" w:rsidP="00222C73">
      <w:pPr>
        <w:pStyle w:val="FootnoteText"/>
      </w:pPr>
      <w:r>
        <w:rPr>
          <w:rStyle w:val="FootnoteReference"/>
        </w:rPr>
        <w:footnoteRef/>
      </w:r>
      <w:r>
        <w:t xml:space="preserve"> </w:t>
      </w:r>
      <w:r w:rsidRPr="00245AB4">
        <w:rPr>
          <w:highlight w:val="yellow"/>
        </w:rPr>
        <w:t xml:space="preserve">When in doubt, one can of course </w:t>
      </w:r>
      <w:r w:rsidR="00245AB4" w:rsidRPr="00245AB4">
        <w:rPr>
          <w:highlight w:val="yellow"/>
        </w:rPr>
        <w:t>resort to</w:t>
      </w:r>
      <w:r w:rsidRPr="00245AB4">
        <w:rPr>
          <w:highlight w:val="yellow"/>
        </w:rPr>
        <w:t xml:space="preserve"> </w:t>
      </w:r>
      <w:r w:rsidR="00816931">
        <w:rPr>
          <w:highlight w:val="yellow"/>
        </w:rPr>
        <w:t xml:space="preserve">other methods such as </w:t>
      </w:r>
      <w:r w:rsidRPr="00245AB4">
        <w:rPr>
          <w:highlight w:val="yellow"/>
        </w:rPr>
        <w:t xml:space="preserve">etymological theory and </w:t>
      </w:r>
      <w:r w:rsidR="00245AB4" w:rsidRPr="00245AB4">
        <w:rPr>
          <w:highlight w:val="yellow"/>
        </w:rPr>
        <w:t>drawing</w:t>
      </w:r>
      <w:r w:rsidR="00222C73" w:rsidRPr="00245AB4">
        <w:rPr>
          <w:highlight w:val="yellow"/>
        </w:rPr>
        <w:t xml:space="preserve"> inferences from</w:t>
      </w:r>
      <w:r w:rsidR="00273150" w:rsidRPr="00245AB4">
        <w:rPr>
          <w:highlight w:val="yellow"/>
        </w:rPr>
        <w:t xml:space="preserve"> </w:t>
      </w:r>
      <w:r w:rsidRPr="00245AB4">
        <w:rPr>
          <w:highlight w:val="yellow"/>
        </w:rPr>
        <w:t>cognate words in related languages</w:t>
      </w:r>
      <w:r w:rsidR="00245AB4">
        <w:rPr>
          <w:highlight w:val="yellow"/>
        </w:rPr>
        <w:t xml:space="preserve"> whose meanings are known</w:t>
      </w:r>
      <w:r w:rsidRPr="00245AB4">
        <w:rPr>
          <w:highlight w:val="yellow"/>
        </w:rPr>
        <w:t>.</w:t>
      </w:r>
      <w:r w:rsidR="00222C73" w:rsidRPr="00245AB4">
        <w:rPr>
          <w:highlight w:val="yellow"/>
        </w:rPr>
        <w:t xml:space="preserve"> On this, see </w:t>
      </w:r>
      <w:r w:rsidR="00222C73" w:rsidRPr="00245AB4">
        <w:rPr>
          <w:highlight w:val="yellow"/>
        </w:rPr>
        <w:t xml:space="preserve">D.J. Pring, </w:t>
      </w:r>
      <w:r w:rsidR="00222C73" w:rsidRPr="00245AB4">
        <w:rPr>
          <w:i/>
          <w:iCs/>
          <w:highlight w:val="yellow"/>
        </w:rPr>
        <w:t>Lexicography: An Introduction</w:t>
      </w:r>
      <w:r w:rsidR="00222C73" w:rsidRPr="00245AB4">
        <w:rPr>
          <w:highlight w:val="yellow"/>
        </w:rPr>
        <w:t xml:space="preserve"> (London: Routledge, 2000)</w:t>
      </w:r>
      <w:r w:rsidR="00222C73" w:rsidRPr="00245AB4">
        <w:rPr>
          <w:highlight w:val="yellow"/>
        </w:rPr>
        <w:t xml:space="preserve">; </w:t>
      </w:r>
      <w:r w:rsidR="00222C73" w:rsidRPr="00245AB4">
        <w:rPr>
          <w:highlight w:val="yellow"/>
        </w:rPr>
        <w:t xml:space="preserve">Philip Durkin (ed.), </w:t>
      </w:r>
      <w:r w:rsidR="00222C73" w:rsidRPr="00245AB4">
        <w:rPr>
          <w:i/>
          <w:iCs/>
          <w:highlight w:val="yellow"/>
        </w:rPr>
        <w:t>The Oxford Handbook of Lexicography</w:t>
      </w:r>
      <w:r w:rsidR="00222C73" w:rsidRPr="00245AB4">
        <w:rPr>
          <w:highlight w:val="yellow"/>
        </w:rPr>
        <w:t xml:space="preserve"> (Oxford: Oxford University Press, 2015).</w:t>
      </w:r>
    </w:p>
  </w:footnote>
  <w:footnote w:id="16">
    <w:p w14:paraId="3DD89421" w14:textId="342C962F" w:rsidR="009F4ADC" w:rsidRDefault="009F4ADC">
      <w:pPr>
        <w:pStyle w:val="FootnoteText"/>
      </w:pPr>
      <w:r>
        <w:rPr>
          <w:rStyle w:val="FootnoteReference"/>
        </w:rPr>
        <w:footnoteRef/>
      </w:r>
      <w:r>
        <w:t xml:space="preserve"> </w:t>
      </w:r>
      <w:proofErr w:type="spellStart"/>
      <w:r w:rsidRPr="009F4ADC">
        <w:rPr>
          <w:i/>
          <w:iCs/>
        </w:rPr>
        <w:t>Anthologia</w:t>
      </w:r>
      <w:proofErr w:type="spellEnd"/>
      <w:r w:rsidRPr="009F4ADC">
        <w:rPr>
          <w:i/>
          <w:iCs/>
        </w:rPr>
        <w:t xml:space="preserve"> </w:t>
      </w:r>
      <w:proofErr w:type="spellStart"/>
      <w:r w:rsidRPr="009F4ADC">
        <w:rPr>
          <w:i/>
          <w:iCs/>
        </w:rPr>
        <w:t>Palatina</w:t>
      </w:r>
      <w:proofErr w:type="spellEnd"/>
      <w:r w:rsidRPr="009F4ADC">
        <w:rPr>
          <w:i/>
          <w:iCs/>
        </w:rPr>
        <w:t xml:space="preserve"> </w:t>
      </w:r>
      <w:proofErr w:type="spellStart"/>
      <w:r w:rsidRPr="009F4ADC">
        <w:rPr>
          <w:i/>
          <w:iCs/>
        </w:rPr>
        <w:t>Planudea</w:t>
      </w:r>
      <w:proofErr w:type="spellEnd"/>
      <w:r w:rsidRPr="009F4ADC">
        <w:t xml:space="preserve">, vol. 4 Book 11, Epigram 359 line 7, from </w:t>
      </w:r>
      <w:r w:rsidRPr="002464EA">
        <w:rPr>
          <w:i/>
          <w:iCs/>
        </w:rPr>
        <w:t>The Greek Anthology, with an English Translation by W. R. Paton</w:t>
      </w:r>
      <w:r w:rsidRPr="009F4ADC">
        <w:t xml:space="preserve"> (LCL, 85; London: William Heinemann, 1926), IV, </w:t>
      </w:r>
      <w:r w:rsidR="002464EA">
        <w:t xml:space="preserve">p. </w:t>
      </w:r>
      <w:r w:rsidRPr="009F4ADC">
        <w:t xml:space="preserve">240 (Greek), </w:t>
      </w:r>
      <w:r w:rsidR="002464EA">
        <w:t xml:space="preserve">p. </w:t>
      </w:r>
      <w:r w:rsidRPr="009F4ADC">
        <w:t>241 (English). Accessed online on 2/15/2024 at</w:t>
      </w:r>
    </w:p>
    <w:p w14:paraId="1BCC3138" w14:textId="7E9A5CAC" w:rsidR="009F4ADC" w:rsidRDefault="00A226BF">
      <w:pPr>
        <w:pStyle w:val="FootnoteText"/>
      </w:pPr>
      <w:r w:rsidRPr="00A226BF">
        <w:t>https://babel.hathitrust.org/cgi/pt?id=mdp.39015003878918&amp;seq=250</w:t>
      </w:r>
    </w:p>
  </w:footnote>
  <w:footnote w:id="17">
    <w:p w14:paraId="0F330837" w14:textId="0C88F322" w:rsidR="002464EA" w:rsidRPr="004708F6" w:rsidRDefault="002464EA">
      <w:pPr>
        <w:pStyle w:val="FootnoteText"/>
      </w:pPr>
      <w:r>
        <w:rPr>
          <w:rStyle w:val="FootnoteReference"/>
        </w:rPr>
        <w:footnoteRef/>
      </w:r>
      <w:r w:rsidRPr="004708F6">
        <w:t xml:space="preserve"> E.g. Grimm–Wilke–Thayer, BADG, Ebeling.</w:t>
      </w:r>
    </w:p>
  </w:footnote>
  <w:footnote w:id="18">
    <w:p w14:paraId="24DB0F93" w14:textId="1643EDD4" w:rsidR="00C015F7" w:rsidRPr="005632DD" w:rsidRDefault="00C015F7">
      <w:pPr>
        <w:pStyle w:val="FootnoteText"/>
      </w:pPr>
      <w:r>
        <w:rPr>
          <w:rStyle w:val="FootnoteReference"/>
        </w:rPr>
        <w:footnoteRef/>
      </w:r>
      <w:r w:rsidRPr="005632DD">
        <w:t xml:space="preserve"> Indeed, Le Grand Bailly (Bailly, Anatole, </w:t>
      </w:r>
      <w:proofErr w:type="spellStart"/>
      <w:r w:rsidRPr="005632DD">
        <w:rPr>
          <w:i/>
          <w:iCs/>
        </w:rPr>
        <w:t>Dictionnaire</w:t>
      </w:r>
      <w:proofErr w:type="spellEnd"/>
      <w:r w:rsidRPr="005632DD">
        <w:rPr>
          <w:i/>
          <w:iCs/>
        </w:rPr>
        <w:t xml:space="preserve"> </w:t>
      </w:r>
      <w:proofErr w:type="spellStart"/>
      <w:r w:rsidRPr="005632DD">
        <w:rPr>
          <w:i/>
          <w:iCs/>
        </w:rPr>
        <w:t>grec</w:t>
      </w:r>
      <w:proofErr w:type="spellEnd"/>
      <w:r w:rsidRPr="005632DD">
        <w:rPr>
          <w:i/>
          <w:iCs/>
        </w:rPr>
        <w:t>–</w:t>
      </w:r>
      <w:proofErr w:type="spellStart"/>
      <w:r w:rsidRPr="005632DD">
        <w:rPr>
          <w:i/>
          <w:iCs/>
        </w:rPr>
        <w:t>français</w:t>
      </w:r>
      <w:proofErr w:type="spellEnd"/>
      <w:r w:rsidRPr="005632DD">
        <w:t xml:space="preserve"> [Paris: Hachette, 1935], 2112, </w:t>
      </w:r>
      <w:proofErr w:type="spellStart"/>
      <w:r w:rsidRPr="005632DD">
        <w:rPr>
          <w:i/>
          <w:iCs/>
        </w:rPr>
        <w:t>s.v.</w:t>
      </w:r>
      <w:proofErr w:type="spellEnd"/>
      <w:r w:rsidRPr="005632DD">
        <w:t xml:space="preserve"> </w:t>
      </w:r>
      <w:proofErr w:type="spellStart"/>
      <w:r w:rsidRPr="00C015F7">
        <w:rPr>
          <w:lang w:val="de-DE"/>
        </w:rPr>
        <w:t>φωστήρ</w:t>
      </w:r>
      <w:proofErr w:type="spellEnd"/>
      <w:r w:rsidRPr="005632DD">
        <w:t>) cites this source as an example of the first meaning, “</w:t>
      </w:r>
      <w:proofErr w:type="spellStart"/>
      <w:r w:rsidRPr="005632DD">
        <w:t>ce</w:t>
      </w:r>
      <w:proofErr w:type="spellEnd"/>
      <w:r w:rsidRPr="005632DD">
        <w:t xml:space="preserve"> qui </w:t>
      </w:r>
      <w:proofErr w:type="spellStart"/>
      <w:r w:rsidRPr="005632DD">
        <w:t>donne</w:t>
      </w:r>
      <w:proofErr w:type="spellEnd"/>
      <w:r w:rsidRPr="005632DD">
        <w:t xml:space="preserve"> la lumière, </w:t>
      </w:r>
      <w:proofErr w:type="spellStart"/>
      <w:r w:rsidRPr="005632DD">
        <w:t>ce</w:t>
      </w:r>
      <w:proofErr w:type="spellEnd"/>
      <w:r w:rsidRPr="005632DD">
        <w:t xml:space="preserve"> qui illumine,” applied in a figurative sense. </w:t>
      </w:r>
    </w:p>
  </w:footnote>
  <w:footnote w:id="19">
    <w:p w14:paraId="6563334B" w14:textId="77777777" w:rsidR="00234DB9" w:rsidRDefault="00234DB9" w:rsidP="00234DB9">
      <w:pPr>
        <w:pStyle w:val="FootnoteText"/>
      </w:pPr>
      <w:r>
        <w:rPr>
          <w:rStyle w:val="FootnoteReference"/>
        </w:rPr>
        <w:footnoteRef/>
      </w:r>
      <w:r>
        <w:t xml:space="preserve"> </w:t>
      </w:r>
      <w:r>
        <w:rPr>
          <w:i/>
          <w:iCs/>
        </w:rPr>
        <w:t xml:space="preserve">After the Thousand </w:t>
      </w:r>
      <w:r w:rsidRPr="00234DB9">
        <w:rPr>
          <w:i/>
          <w:iCs/>
        </w:rPr>
        <w:t>Years</w:t>
      </w:r>
      <w:r>
        <w:t xml:space="preserve">, 13, footnoting for comparison </w:t>
      </w:r>
      <w:r w:rsidRPr="00902479">
        <w:t xml:space="preserve">E.S. Fiorenza, </w:t>
      </w:r>
      <w:r>
        <w:t>‘</w:t>
      </w:r>
      <w:r w:rsidRPr="00902479">
        <w:t>Composition and Structure of the Book of Revelation</w:t>
      </w:r>
      <w:r>
        <w:t>’</w:t>
      </w:r>
      <w:r w:rsidRPr="00902479">
        <w:t xml:space="preserve">, </w:t>
      </w:r>
      <w:r w:rsidRPr="00AA2A1F">
        <w:rPr>
          <w:i/>
          <w:iCs/>
        </w:rPr>
        <w:t>CBQ</w:t>
      </w:r>
      <w:r w:rsidRPr="00902479">
        <w:t xml:space="preserve"> 39 (1977), 344-66</w:t>
      </w:r>
      <w:r>
        <w:t>.</w:t>
      </w:r>
    </w:p>
  </w:footnote>
  <w:footnote w:id="20">
    <w:p w14:paraId="46F4501A" w14:textId="4546AB4D" w:rsidR="00210936" w:rsidRDefault="00210936">
      <w:pPr>
        <w:pStyle w:val="FootnoteText"/>
      </w:pPr>
      <w:r>
        <w:rPr>
          <w:rStyle w:val="FootnoteReference"/>
        </w:rPr>
        <w:footnoteRef/>
      </w:r>
      <w:r>
        <w:t xml:space="preserve"> ESV her radiance.</w:t>
      </w:r>
    </w:p>
  </w:footnote>
  <w:footnote w:id="21">
    <w:p w14:paraId="24E46625" w14:textId="248B3A35" w:rsidR="004876AB" w:rsidRDefault="004876AB">
      <w:pPr>
        <w:pStyle w:val="FootnoteText"/>
      </w:pPr>
      <w:r>
        <w:rPr>
          <w:rStyle w:val="FootnoteReference"/>
        </w:rPr>
        <w:footnoteRef/>
      </w:r>
      <w:r>
        <w:t xml:space="preserve"> ESV </w:t>
      </w:r>
      <w:r w:rsidRPr="004876AB">
        <w:t>The wall was built of jasper</w:t>
      </w:r>
      <w:r>
        <w:t xml:space="preserve">. Gr. </w:t>
      </w:r>
      <w:r w:rsidRPr="004876AB">
        <w:t xml:space="preserve">ἡ </w:t>
      </w:r>
      <w:proofErr w:type="spellStart"/>
      <w:r w:rsidRPr="004876AB">
        <w:t>ἐνδώμησις</w:t>
      </w:r>
      <w:proofErr w:type="spellEnd"/>
      <w:r w:rsidRPr="004876AB">
        <w:t xml:space="preserve"> τοῦ </w:t>
      </w:r>
      <w:proofErr w:type="spellStart"/>
      <w:r w:rsidRPr="004876AB">
        <w:t>τείχους</w:t>
      </w:r>
      <w:proofErr w:type="spellEnd"/>
      <w:r w:rsidRPr="004876AB">
        <w:t xml:space="preserve"> αὐτῆς ἴασπις</w:t>
      </w:r>
      <w:r>
        <w:t>.</w:t>
      </w:r>
    </w:p>
  </w:footnote>
  <w:footnote w:id="22">
    <w:p w14:paraId="463D2AAD" w14:textId="7F1F8A55" w:rsidR="00A1469C" w:rsidRDefault="00A1469C" w:rsidP="0071290F">
      <w:pPr>
        <w:pStyle w:val="FootnoteText"/>
      </w:pPr>
      <w:r>
        <w:rPr>
          <w:rStyle w:val="FootnoteReference"/>
        </w:rPr>
        <w:footnoteRef/>
      </w:r>
      <w:r w:rsidRPr="005632DD">
        <w:rPr>
          <w:lang w:val="de-DE"/>
        </w:rPr>
        <w:t xml:space="preserve"> </w:t>
      </w:r>
      <w:r w:rsidR="002C2CE7" w:rsidRPr="005632DD">
        <w:rPr>
          <w:lang w:val="de-DE"/>
        </w:rPr>
        <w:t xml:space="preserve">E.g. </w:t>
      </w:r>
      <w:r w:rsidR="00505583" w:rsidRPr="005632DD">
        <w:rPr>
          <w:lang w:val="de-DE"/>
        </w:rPr>
        <w:t xml:space="preserve">Friedrich Düsterdieck, </w:t>
      </w:r>
      <w:r w:rsidR="00505583" w:rsidRPr="005632DD">
        <w:rPr>
          <w:i/>
          <w:iCs/>
          <w:lang w:val="de-DE"/>
        </w:rPr>
        <w:t>Die Offenbarung Johannis</w:t>
      </w:r>
      <w:r w:rsidR="00505583" w:rsidRPr="005632DD">
        <w:rPr>
          <w:lang w:val="de-DE"/>
        </w:rPr>
        <w:t xml:space="preserve"> (KEK, 16; Göttingen: Vandenhoeck und Ruprecht, 1865), 566</w:t>
      </w:r>
      <w:r w:rsidR="00E7338B" w:rsidRPr="005632DD">
        <w:rPr>
          <w:lang w:val="de-DE"/>
        </w:rPr>
        <w:t xml:space="preserve">, English trans. </w:t>
      </w:r>
      <w:r w:rsidR="00E7338B">
        <w:rPr>
          <w:i/>
          <w:iCs/>
        </w:rPr>
        <w:t>A Critical and Exegetical Handbook to the Revelation of John</w:t>
      </w:r>
      <w:r w:rsidR="00E7338B">
        <w:t xml:space="preserve"> (trans. H.E. Jacobs; New York: Funk &amp; Wagnalls, 1887), 479</w:t>
      </w:r>
      <w:r w:rsidR="00505583">
        <w:t xml:space="preserve">; </w:t>
      </w:r>
      <w:r w:rsidR="00E7338B">
        <w:t xml:space="preserve">William Hendrickson, </w:t>
      </w:r>
      <w:r w:rsidR="00E7338B">
        <w:rPr>
          <w:i/>
          <w:iCs/>
        </w:rPr>
        <w:t>More than Conquerors: An Interpretation of the Book of Revelation</w:t>
      </w:r>
      <w:r w:rsidR="00E7338B">
        <w:t xml:space="preserve"> (London: InterVarsity Press, 1962 [1939]), 203; </w:t>
      </w:r>
      <w:r w:rsidR="00505583" w:rsidRPr="00505583">
        <w:t>Drew N.</w:t>
      </w:r>
      <w:r w:rsidR="00505583">
        <w:t xml:space="preserve"> </w:t>
      </w:r>
      <w:r w:rsidR="00505583" w:rsidRPr="00505583">
        <w:t xml:space="preserve">Grumbles, </w:t>
      </w:r>
      <w:r w:rsidR="00505583" w:rsidRPr="00505583">
        <w:rPr>
          <w:i/>
          <w:iCs/>
        </w:rPr>
        <w:t>YHWH Is There: Ezekiel's Temple Vision as a Type</w:t>
      </w:r>
      <w:r w:rsidR="00505583" w:rsidRPr="00505583">
        <w:t xml:space="preserve"> (Eugene, OR: Wipf &amp; Stock, 2021)</w:t>
      </w:r>
      <w:r w:rsidR="00505583">
        <w:t>, 209 and nt. 185</w:t>
      </w:r>
      <w:r w:rsidR="00297F6F">
        <w:t xml:space="preserve">; </w:t>
      </w:r>
      <w:r w:rsidR="00A7001E">
        <w:t xml:space="preserve">Pierre </w:t>
      </w:r>
      <w:r w:rsidR="00E35BF6" w:rsidRPr="00E35BF6">
        <w:t xml:space="preserve">Prigent, </w:t>
      </w:r>
      <w:r w:rsidR="00E35BF6" w:rsidRPr="00E35BF6">
        <w:rPr>
          <w:i/>
          <w:iCs/>
        </w:rPr>
        <w:t>L’Apocalypse de Saint Jean</w:t>
      </w:r>
      <w:r w:rsidR="00E35BF6" w:rsidRPr="00E35BF6">
        <w:t xml:space="preserve"> (CNT, </w:t>
      </w:r>
      <w:proofErr w:type="spellStart"/>
      <w:r w:rsidR="00E35BF6" w:rsidRPr="00E35BF6">
        <w:t>Deuxième</w:t>
      </w:r>
      <w:proofErr w:type="spellEnd"/>
      <w:r w:rsidR="00E35BF6" w:rsidRPr="00E35BF6">
        <w:t xml:space="preserve"> </w:t>
      </w:r>
      <w:proofErr w:type="spellStart"/>
      <w:r w:rsidR="00E35BF6" w:rsidRPr="00E35BF6">
        <w:t>Série</w:t>
      </w:r>
      <w:proofErr w:type="spellEnd"/>
      <w:r w:rsidR="00E35BF6" w:rsidRPr="00E35BF6">
        <w:t xml:space="preserve">, 14; Paris: </w:t>
      </w:r>
      <w:proofErr w:type="spellStart"/>
      <w:r w:rsidR="00E35BF6" w:rsidRPr="00E35BF6">
        <w:t>Delachaux</w:t>
      </w:r>
      <w:proofErr w:type="spellEnd"/>
      <w:r w:rsidR="00E35BF6" w:rsidRPr="00E35BF6">
        <w:t xml:space="preserve"> &amp; </w:t>
      </w:r>
      <w:proofErr w:type="spellStart"/>
      <w:r w:rsidR="00E35BF6" w:rsidRPr="00E35BF6">
        <w:t>Niestle</w:t>
      </w:r>
      <w:proofErr w:type="spellEnd"/>
      <w:r w:rsidR="00E35BF6" w:rsidRPr="00E35BF6">
        <w:t>́, 1981</w:t>
      </w:r>
      <w:r w:rsidR="00E35BF6" w:rsidRPr="00E35BF6">
        <w:rPr>
          <w:highlight w:val="yellow"/>
        </w:rPr>
        <w:t>)</w:t>
      </w:r>
      <w:r w:rsidR="00A7001E" w:rsidRPr="00E35BF6">
        <w:rPr>
          <w:highlight w:val="yellow"/>
        </w:rPr>
        <w:t>,</w:t>
      </w:r>
      <w:r w:rsidR="00E35BF6" w:rsidRPr="00E35BF6">
        <w:rPr>
          <w:highlight w:val="yellow"/>
        </w:rPr>
        <w:t xml:space="preserve"> </w:t>
      </w:r>
      <w:r w:rsidR="00E35BF6" w:rsidRPr="00E35BF6">
        <w:rPr>
          <w:i/>
          <w:iCs/>
          <w:highlight w:val="yellow"/>
        </w:rPr>
        <w:t>in loc</w:t>
      </w:r>
      <w:r w:rsidR="00E35BF6">
        <w:rPr>
          <w:i/>
          <w:iCs/>
        </w:rPr>
        <w:t>.</w:t>
      </w:r>
      <w:r w:rsidR="00E35BF6">
        <w:t>;</w:t>
      </w:r>
      <w:r w:rsidR="00A7001E">
        <w:t xml:space="preserve"> </w:t>
      </w:r>
      <w:r w:rsidR="00297F6F">
        <w:t xml:space="preserve">Beale, </w:t>
      </w:r>
      <w:r w:rsidR="00297F6F">
        <w:rPr>
          <w:i/>
          <w:iCs/>
        </w:rPr>
        <w:t>Revelation</w:t>
      </w:r>
      <w:r w:rsidR="00297F6F">
        <w:t>, 1066</w:t>
      </w:r>
      <w:r w:rsidR="00410FB1">
        <w:t>.</w:t>
      </w:r>
      <w:r w:rsidR="002C2CE7">
        <w:t xml:space="preserve"> </w:t>
      </w:r>
      <w:r>
        <w:t xml:space="preserve">See also </w:t>
      </w:r>
      <w:r w:rsidRPr="00A1469C">
        <w:t xml:space="preserve">Edward Robinson, </w:t>
      </w:r>
      <w:r w:rsidRPr="00A1469C">
        <w:rPr>
          <w:i/>
          <w:iCs/>
        </w:rPr>
        <w:t>A Greek and English Lexicon of the New Testament</w:t>
      </w:r>
      <w:r w:rsidRPr="00A1469C">
        <w:t xml:space="preserve"> (rev. edn; New York: Harper &amp; Brothers, 1850), 774: “</w:t>
      </w:r>
      <w:proofErr w:type="spellStart"/>
      <w:r w:rsidRPr="00A1469C">
        <w:t>Meton</w:t>
      </w:r>
      <w:proofErr w:type="spellEnd"/>
      <w:r w:rsidRPr="00A1469C">
        <w:t xml:space="preserve">. brightness, shining, spoken of the divine glory, </w:t>
      </w:r>
      <w:proofErr w:type="spellStart"/>
      <w:r w:rsidRPr="00A1469C">
        <w:t>δόξ</w:t>
      </w:r>
      <w:proofErr w:type="spellEnd"/>
      <w:r w:rsidRPr="00A1469C">
        <w:t>α, Rev. 21,11…”</w:t>
      </w:r>
      <w:r w:rsidR="002D01FD">
        <w:t xml:space="preserve">; </w:t>
      </w:r>
      <w:r w:rsidR="00C259EF">
        <w:t xml:space="preserve">Michael G. Reddish, </w:t>
      </w:r>
      <w:r w:rsidR="00C259EF" w:rsidRPr="00C259EF">
        <w:rPr>
          <w:i/>
          <w:iCs/>
        </w:rPr>
        <w:t>Revelation</w:t>
      </w:r>
      <w:r w:rsidR="00C259EF">
        <w:t xml:space="preserve"> (</w:t>
      </w:r>
      <w:r w:rsidR="00C259EF" w:rsidRPr="002D01FD">
        <w:t>Sm</w:t>
      </w:r>
      <w:r w:rsidR="00C259EF">
        <w:t>y</w:t>
      </w:r>
      <w:r w:rsidR="00C259EF" w:rsidRPr="002D01FD">
        <w:t xml:space="preserve">th </w:t>
      </w:r>
      <w:r w:rsidR="00C259EF">
        <w:t>&amp;</w:t>
      </w:r>
      <w:r w:rsidR="00C259EF" w:rsidRPr="002D01FD">
        <w:t xml:space="preserve"> Helwys </w:t>
      </w:r>
      <w:r w:rsidR="00C259EF">
        <w:t xml:space="preserve">Commentary; Macon, GA: </w:t>
      </w:r>
      <w:r w:rsidR="00C259EF" w:rsidRPr="002D01FD">
        <w:t>Sm</w:t>
      </w:r>
      <w:r w:rsidR="00C259EF">
        <w:t>y</w:t>
      </w:r>
      <w:r w:rsidR="00C259EF" w:rsidRPr="002D01FD">
        <w:t>th and Helwys</w:t>
      </w:r>
      <w:r w:rsidR="00C259EF">
        <w:t xml:space="preserve">, 2001), </w:t>
      </w:r>
      <w:r w:rsidR="002D01FD" w:rsidRPr="002D01FD">
        <w:t>406</w:t>
      </w:r>
      <w:r w:rsidR="00C259EF">
        <w:t xml:space="preserve">; </w:t>
      </w:r>
      <w:proofErr w:type="spellStart"/>
      <w:r w:rsidR="00C259EF" w:rsidRPr="00C259EF">
        <w:t>Pilchan</w:t>
      </w:r>
      <w:proofErr w:type="spellEnd"/>
      <w:r w:rsidR="00C259EF" w:rsidRPr="00C259EF">
        <w:t xml:space="preserve"> Lee, </w:t>
      </w:r>
      <w:r w:rsidR="00C259EF" w:rsidRPr="00C259EF">
        <w:rPr>
          <w:i/>
          <w:iCs/>
        </w:rPr>
        <w:t>The New Jerusalem in the Book of Revelation: A Study of Revelation 21-22 in the Light of its Background in Jewish Tradition</w:t>
      </w:r>
      <w:r w:rsidR="00C259EF" w:rsidRPr="00C259EF">
        <w:t xml:space="preserve"> (WUNT, </w:t>
      </w:r>
      <w:proofErr w:type="spellStart"/>
      <w:r w:rsidR="00C259EF" w:rsidRPr="00C259EF">
        <w:t>Riehe</w:t>
      </w:r>
      <w:proofErr w:type="spellEnd"/>
      <w:r w:rsidR="00C259EF" w:rsidRPr="00C259EF">
        <w:t xml:space="preserve"> 2; Tübingen: Mohr Siebeck, 2001), 286: “The jasper in v. 11 (cf. vss. 18-19) is reminiscent of the description of the divine appearance on the throne in Rev. 4:3.” From this he concludes that the church shares God’s character, taking ἡ </w:t>
      </w:r>
      <w:proofErr w:type="spellStart"/>
      <w:r w:rsidR="00C259EF" w:rsidRPr="00C259EF">
        <w:t>φωστήρ</w:t>
      </w:r>
      <w:proofErr w:type="spellEnd"/>
      <w:r w:rsidR="00C259EF" w:rsidRPr="00C259EF">
        <w:t xml:space="preserve"> α</w:t>
      </w:r>
      <w:proofErr w:type="spellStart"/>
      <w:r w:rsidR="00C259EF" w:rsidRPr="00C259EF">
        <w:t>ὐτῆς</w:t>
      </w:r>
      <w:proofErr w:type="spellEnd"/>
      <w:r w:rsidR="00C259EF" w:rsidRPr="00C259EF">
        <w:t xml:space="preserve"> as meaning her glow with God’s glory.</w:t>
      </w:r>
    </w:p>
  </w:footnote>
  <w:footnote w:id="23">
    <w:p w14:paraId="2B69D9E2" w14:textId="4C34A41D" w:rsidR="0071290F" w:rsidRDefault="004B3422" w:rsidP="00E60FA5">
      <w:pPr>
        <w:pStyle w:val="FootnoteText"/>
      </w:pPr>
      <w:r>
        <w:rPr>
          <w:rStyle w:val="FootnoteReference"/>
        </w:rPr>
        <w:footnoteRef/>
      </w:r>
      <w:r>
        <w:t xml:space="preserve"> </w:t>
      </w:r>
      <w:r w:rsidR="0071290F">
        <w:t xml:space="preserve">This view goes all the way back to </w:t>
      </w:r>
      <w:r w:rsidR="00297F6F">
        <w:t>the first Greek commentator on Revelation, Andreas of Caesarea, who comment</w:t>
      </w:r>
      <w:r w:rsidR="0093493E">
        <w:t>s</w:t>
      </w:r>
      <w:r w:rsidR="00297F6F">
        <w:t xml:space="preserve">, </w:t>
      </w:r>
      <w:proofErr w:type="spellStart"/>
      <w:r w:rsidR="00297F6F" w:rsidRPr="00297F6F">
        <w:t>φωστὴρ</w:t>
      </w:r>
      <w:proofErr w:type="spellEnd"/>
      <w:r w:rsidR="00297F6F" w:rsidRPr="00297F6F">
        <w:t xml:space="preserve"> </w:t>
      </w:r>
      <w:proofErr w:type="spellStart"/>
      <w:r w:rsidR="00297F6F" w:rsidRPr="00297F6F">
        <w:t>τῆς</w:t>
      </w:r>
      <w:proofErr w:type="spellEnd"/>
      <w:r w:rsidR="00297F6F" w:rsidRPr="00297F6F">
        <w:t xml:space="preserve"> </w:t>
      </w:r>
      <w:proofErr w:type="spellStart"/>
      <w:r w:rsidR="00297F6F" w:rsidRPr="00297F6F">
        <w:t>ἐκκλησι</w:t>
      </w:r>
      <w:proofErr w:type="spellEnd"/>
      <w:r w:rsidR="00297F6F" w:rsidRPr="00297F6F">
        <w:t xml:space="preserve">́ας ὁ </w:t>
      </w:r>
      <w:proofErr w:type="spellStart"/>
      <w:r w:rsidR="00297F6F" w:rsidRPr="00297F6F">
        <w:t>χριστός</w:t>
      </w:r>
      <w:proofErr w:type="spellEnd"/>
      <w:r w:rsidR="004C09ED">
        <w:t xml:space="preserve">; </w:t>
      </w:r>
      <w:r w:rsidR="003B32E3">
        <w:t xml:space="preserve">so also </w:t>
      </w:r>
      <w:proofErr w:type="spellStart"/>
      <w:r w:rsidR="000F36DB">
        <w:t>Primasius</w:t>
      </w:r>
      <w:proofErr w:type="spellEnd"/>
      <w:r w:rsidR="000F36DB">
        <w:t xml:space="preserve"> (fl. 551), who says, </w:t>
      </w:r>
      <w:proofErr w:type="spellStart"/>
      <w:r w:rsidR="000F36DB" w:rsidRPr="000F36DB">
        <w:t>eum</w:t>
      </w:r>
      <w:proofErr w:type="spellEnd"/>
      <w:r w:rsidR="000F36DB" w:rsidRPr="000F36DB">
        <w:t xml:space="preserve"> Christo relatum </w:t>
      </w:r>
      <w:proofErr w:type="spellStart"/>
      <w:r w:rsidR="000F36DB" w:rsidRPr="000F36DB">
        <w:t>uelit</w:t>
      </w:r>
      <w:proofErr w:type="spellEnd"/>
      <w:r w:rsidR="000F36DB" w:rsidRPr="000F36DB">
        <w:t xml:space="preserve"> </w:t>
      </w:r>
      <w:proofErr w:type="spellStart"/>
      <w:r w:rsidR="000F36DB" w:rsidRPr="000F36DB">
        <w:t>intellegi</w:t>
      </w:r>
      <w:proofErr w:type="spellEnd"/>
      <w:r w:rsidR="000F36DB" w:rsidRPr="000F36DB">
        <w:t xml:space="preserve">, de quo beatus Petrus: </w:t>
      </w:r>
      <w:proofErr w:type="spellStart"/>
      <w:r w:rsidR="000F36DB" w:rsidRPr="000F36DB">
        <w:t>Lapidem</w:t>
      </w:r>
      <w:proofErr w:type="spellEnd"/>
      <w:r w:rsidR="000F36DB" w:rsidRPr="000F36DB">
        <w:t xml:space="preserve"> </w:t>
      </w:r>
      <w:proofErr w:type="spellStart"/>
      <w:r w:rsidR="000F36DB" w:rsidRPr="000F36DB">
        <w:t>inquit</w:t>
      </w:r>
      <w:proofErr w:type="spellEnd"/>
      <w:r w:rsidR="000F36DB" w:rsidRPr="000F36DB">
        <w:t xml:space="preserve"> </w:t>
      </w:r>
      <w:proofErr w:type="spellStart"/>
      <w:r w:rsidR="000F36DB" w:rsidRPr="000F36DB">
        <w:t>angularem</w:t>
      </w:r>
      <w:proofErr w:type="spellEnd"/>
      <w:r w:rsidR="000F36DB" w:rsidRPr="000F36DB">
        <w:t xml:space="preserve"> </w:t>
      </w:r>
      <w:proofErr w:type="spellStart"/>
      <w:r w:rsidR="000F36DB" w:rsidRPr="000F36DB">
        <w:t>pretiosum</w:t>
      </w:r>
      <w:proofErr w:type="spellEnd"/>
      <w:r w:rsidR="000F36DB">
        <w:t xml:space="preserve"> (alluding to 1 Pet. 2:6); </w:t>
      </w:r>
      <w:proofErr w:type="spellStart"/>
      <w:r w:rsidR="003B32E3">
        <w:t>Oecumenius</w:t>
      </w:r>
      <w:proofErr w:type="spellEnd"/>
      <w:r w:rsidR="003B32E3">
        <w:t xml:space="preserve"> (6</w:t>
      </w:r>
      <w:r w:rsidR="003B32E3" w:rsidRPr="003B32E3">
        <w:rPr>
          <w:vertAlign w:val="superscript"/>
        </w:rPr>
        <w:t>th</w:t>
      </w:r>
      <w:r w:rsidR="003B32E3">
        <w:t>-7</w:t>
      </w:r>
      <w:r w:rsidR="003B32E3" w:rsidRPr="003B32E3">
        <w:rPr>
          <w:vertAlign w:val="superscript"/>
        </w:rPr>
        <w:t>th</w:t>
      </w:r>
      <w:r w:rsidR="003B32E3">
        <w:t xml:space="preserve"> century CE), who says, </w:t>
      </w:r>
      <w:r w:rsidR="003B32E3">
        <w:rPr>
          <w:lang w:val="el-GR"/>
        </w:rPr>
        <w:t>ο</w:t>
      </w:r>
      <w:r w:rsidR="003B32E3" w:rsidRPr="003B32E3">
        <w:t xml:space="preserve">̔ </w:t>
      </w:r>
      <w:r w:rsidR="003B32E3">
        <w:rPr>
          <w:lang w:val="el-GR"/>
        </w:rPr>
        <w:t>φωστη</w:t>
      </w:r>
      <w:r w:rsidR="003B32E3" w:rsidRPr="003B32E3">
        <w:t>̀</w:t>
      </w:r>
      <w:r w:rsidR="003B32E3">
        <w:rPr>
          <w:lang w:val="el-GR"/>
        </w:rPr>
        <w:t>ρ</w:t>
      </w:r>
      <w:r w:rsidR="003B32E3" w:rsidRPr="003B32E3">
        <w:t xml:space="preserve"> </w:t>
      </w:r>
      <w:r w:rsidR="003B32E3">
        <w:rPr>
          <w:lang w:val="el-GR"/>
        </w:rPr>
        <w:t>αυ</w:t>
      </w:r>
      <w:r w:rsidR="003B32E3" w:rsidRPr="003B32E3">
        <w:t>̓</w:t>
      </w:r>
      <w:r w:rsidR="003B32E3">
        <w:rPr>
          <w:lang w:val="el-GR"/>
        </w:rPr>
        <w:t>τη</w:t>
      </w:r>
      <w:r w:rsidR="003B32E3" w:rsidRPr="003B32E3">
        <w:t>͂</w:t>
      </w:r>
      <w:r w:rsidR="003B32E3">
        <w:rPr>
          <w:lang w:val="el-GR"/>
        </w:rPr>
        <w:t>ς</w:t>
      </w:r>
      <w:r w:rsidR="003B32E3" w:rsidRPr="003B32E3">
        <w:t xml:space="preserve"> </w:t>
      </w:r>
      <w:r w:rsidR="003B32E3">
        <w:rPr>
          <w:lang w:val="el-GR"/>
        </w:rPr>
        <w:t>φησι</w:t>
      </w:r>
      <w:r w:rsidR="003B32E3" w:rsidRPr="003B32E3">
        <w:t xml:space="preserve">, </w:t>
      </w:r>
      <w:r w:rsidR="003B32E3">
        <w:rPr>
          <w:lang w:val="el-GR"/>
        </w:rPr>
        <w:t>τουτε</w:t>
      </w:r>
      <w:r w:rsidR="003B32E3" w:rsidRPr="003B32E3">
        <w:t>́</w:t>
      </w:r>
      <w:r w:rsidR="003B32E3">
        <w:rPr>
          <w:lang w:val="el-GR"/>
        </w:rPr>
        <w:t>στιν</w:t>
      </w:r>
      <w:r w:rsidR="003B32E3" w:rsidRPr="003B32E3">
        <w:t xml:space="preserve"> </w:t>
      </w:r>
      <w:r w:rsidR="003B32E3">
        <w:rPr>
          <w:lang w:val="el-GR"/>
        </w:rPr>
        <w:t>ο</w:t>
      </w:r>
      <w:r w:rsidR="003B32E3" w:rsidRPr="003B32E3">
        <w:t xml:space="preserve">̔ </w:t>
      </w:r>
      <w:r w:rsidR="003B32E3">
        <w:rPr>
          <w:lang w:val="el-GR"/>
        </w:rPr>
        <w:t>τη</w:t>
      </w:r>
      <w:r w:rsidR="003B32E3" w:rsidRPr="003B32E3">
        <w:t>͂</w:t>
      </w:r>
      <w:r w:rsidR="003B32E3">
        <w:rPr>
          <w:lang w:val="el-GR"/>
        </w:rPr>
        <w:t>ς</w:t>
      </w:r>
      <w:r w:rsidR="003B32E3" w:rsidRPr="003B32E3">
        <w:t xml:space="preserve"> </w:t>
      </w:r>
      <w:r w:rsidR="003B32E3">
        <w:rPr>
          <w:lang w:val="el-GR"/>
        </w:rPr>
        <w:t>δικαιοσυ</w:t>
      </w:r>
      <w:r w:rsidR="003B32E3" w:rsidRPr="003B32E3">
        <w:t>́</w:t>
      </w:r>
      <w:r w:rsidR="003B32E3">
        <w:rPr>
          <w:lang w:val="el-GR"/>
        </w:rPr>
        <w:t>νης</w:t>
      </w:r>
      <w:r w:rsidR="003B32E3" w:rsidRPr="003B32E3">
        <w:t xml:space="preserve"> </w:t>
      </w:r>
      <w:r w:rsidR="003B32E3">
        <w:rPr>
          <w:lang w:val="el-GR"/>
        </w:rPr>
        <w:t>η</w:t>
      </w:r>
      <w:r w:rsidR="003B32E3" w:rsidRPr="003B32E3">
        <w:t>̔́</w:t>
      </w:r>
      <w:r w:rsidR="003B32E3">
        <w:rPr>
          <w:lang w:val="el-GR"/>
        </w:rPr>
        <w:t>λιος</w:t>
      </w:r>
      <w:r w:rsidR="003B32E3" w:rsidRPr="003B32E3">
        <w:t xml:space="preserve"> </w:t>
      </w:r>
      <w:r w:rsidR="003B32E3">
        <w:rPr>
          <w:lang w:val="el-GR"/>
        </w:rPr>
        <w:t>Χριστο</w:t>
      </w:r>
      <w:r w:rsidR="003B32E3" w:rsidRPr="003B32E3">
        <w:t>́</w:t>
      </w:r>
      <w:r w:rsidR="003B32E3">
        <w:rPr>
          <w:lang w:val="el-GR"/>
        </w:rPr>
        <w:t>ς</w:t>
      </w:r>
      <w:r w:rsidR="003B32E3" w:rsidRPr="003B32E3">
        <w:t xml:space="preserve"> </w:t>
      </w:r>
      <w:r w:rsidR="003B32E3">
        <w:t>[cf. Mal. 4:2]</w:t>
      </w:r>
      <w:r w:rsidR="003B32E3" w:rsidRPr="003B32E3">
        <w:t xml:space="preserve">. </w:t>
      </w:r>
      <w:r w:rsidR="0093493E" w:rsidRPr="0093493E">
        <w:rPr>
          <w:lang w:val="fr-FR"/>
        </w:rPr>
        <w:t>C</w:t>
      </w:r>
      <w:r w:rsidR="004C09ED" w:rsidRPr="0093493E">
        <w:rPr>
          <w:lang w:val="fr-FR"/>
        </w:rPr>
        <w:t xml:space="preserve">f. </w:t>
      </w:r>
      <w:proofErr w:type="spellStart"/>
      <w:r w:rsidR="004C09ED" w:rsidRPr="0093493E">
        <w:rPr>
          <w:lang w:val="fr-FR"/>
        </w:rPr>
        <w:t>Césaire</w:t>
      </w:r>
      <w:proofErr w:type="spellEnd"/>
      <w:r w:rsidR="004C09ED" w:rsidRPr="0093493E">
        <w:rPr>
          <w:lang w:val="fr-FR"/>
        </w:rPr>
        <w:t xml:space="preserve"> d’Arles (</w:t>
      </w:r>
      <w:proofErr w:type="spellStart"/>
      <w:r w:rsidR="004C09ED" w:rsidRPr="0093493E">
        <w:rPr>
          <w:lang w:val="fr-FR"/>
        </w:rPr>
        <w:t>writing</w:t>
      </w:r>
      <w:proofErr w:type="spellEnd"/>
      <w:r w:rsidR="004C09ED" w:rsidRPr="0093493E">
        <w:rPr>
          <w:lang w:val="fr-FR"/>
        </w:rPr>
        <w:t xml:space="preserve"> in Latin, d. 542 CE), </w:t>
      </w:r>
      <w:r w:rsidR="004C09ED" w:rsidRPr="0093493E">
        <w:rPr>
          <w:i/>
          <w:iCs/>
          <w:lang w:val="fr-FR"/>
        </w:rPr>
        <w:t>Commentaire de l’Apocalypse de Jean</w:t>
      </w:r>
      <w:r w:rsidR="004C09ED" w:rsidRPr="0093493E">
        <w:rPr>
          <w:lang w:val="fr-FR"/>
        </w:rPr>
        <w:t xml:space="preserve"> (</w:t>
      </w:r>
      <w:proofErr w:type="spellStart"/>
      <w:r w:rsidR="004C09ED" w:rsidRPr="0093493E">
        <w:rPr>
          <w:lang w:val="fr-FR"/>
        </w:rPr>
        <w:t>ed</w:t>
      </w:r>
      <w:proofErr w:type="spellEnd"/>
      <w:r w:rsidR="004C09ED" w:rsidRPr="0093493E">
        <w:rPr>
          <w:lang w:val="fr-FR"/>
        </w:rPr>
        <w:t xml:space="preserve">. </w:t>
      </w:r>
      <w:r w:rsidR="004C09ED" w:rsidRPr="004C09ED">
        <w:t xml:space="preserve">Roger </w:t>
      </w:r>
      <w:proofErr w:type="spellStart"/>
      <w:r w:rsidR="004C09ED" w:rsidRPr="004C09ED">
        <w:t>Gryson</w:t>
      </w:r>
      <w:proofErr w:type="spellEnd"/>
      <w:r w:rsidR="004C09ED" w:rsidRPr="004C09ED">
        <w:t>; SC, 68; Paris: Cerf, 2023), 264, 276</w:t>
      </w:r>
      <w:r w:rsidR="00297F6F" w:rsidRPr="004C09ED">
        <w:t>.</w:t>
      </w:r>
      <w:r w:rsidR="004C09ED">
        <w:t xml:space="preserve"> </w:t>
      </w:r>
      <w:r w:rsidR="003D2BA6">
        <w:t xml:space="preserve">It seems that </w:t>
      </w:r>
      <w:proofErr w:type="spellStart"/>
      <w:r w:rsidR="003D2BA6" w:rsidRPr="004C09ED">
        <w:t>Césaire</w:t>
      </w:r>
      <w:proofErr w:type="spellEnd"/>
      <w:r w:rsidR="003D2BA6">
        <w:t xml:space="preserve"> is referring to</w:t>
      </w:r>
      <w:r w:rsidR="004C09ED">
        <w:t xml:space="preserve"> </w:t>
      </w:r>
      <w:r w:rsidR="003D2BA6">
        <w:t xml:space="preserve">the glory of Christ rather than Christ himself: </w:t>
      </w:r>
      <w:r w:rsidR="003D2BA6" w:rsidRPr="003D2BA6">
        <w:rPr>
          <w:i/>
          <w:iCs/>
        </w:rPr>
        <w:t xml:space="preserve">in </w:t>
      </w:r>
      <w:proofErr w:type="spellStart"/>
      <w:r w:rsidR="003D2BA6" w:rsidRPr="003D2BA6">
        <w:rPr>
          <w:i/>
          <w:iCs/>
        </w:rPr>
        <w:t>illo</w:t>
      </w:r>
      <w:proofErr w:type="spellEnd"/>
      <w:r w:rsidR="003D2BA6" w:rsidRPr="003D2BA6">
        <w:rPr>
          <w:i/>
          <w:iCs/>
        </w:rPr>
        <w:t xml:space="preserve"> </w:t>
      </w:r>
      <w:proofErr w:type="spellStart"/>
      <w:r w:rsidR="003D2BA6" w:rsidRPr="003D2BA6">
        <w:rPr>
          <w:i/>
          <w:iCs/>
        </w:rPr>
        <w:t>lapide</w:t>
      </w:r>
      <w:proofErr w:type="spellEnd"/>
      <w:r w:rsidR="003D2BA6" w:rsidRPr="003D2BA6">
        <w:rPr>
          <w:i/>
          <w:iCs/>
        </w:rPr>
        <w:t xml:space="preserve"> Christi </w:t>
      </w:r>
      <w:proofErr w:type="spellStart"/>
      <w:r w:rsidR="003D2BA6" w:rsidRPr="003D2BA6">
        <w:rPr>
          <w:i/>
          <w:iCs/>
        </w:rPr>
        <w:t>claritas</w:t>
      </w:r>
      <w:proofErr w:type="spellEnd"/>
      <w:r w:rsidR="003D2BA6" w:rsidRPr="003D2BA6">
        <w:rPr>
          <w:i/>
          <w:iCs/>
        </w:rPr>
        <w:t xml:space="preserve"> demonstrator</w:t>
      </w:r>
      <w:r w:rsidR="003D2BA6">
        <w:t>.</w:t>
      </w:r>
      <w:r w:rsidR="0071290F" w:rsidRPr="004C09ED">
        <w:t xml:space="preserve"> </w:t>
      </w:r>
      <w:r w:rsidR="00297F6F">
        <w:t xml:space="preserve">Among modern commentators </w:t>
      </w:r>
      <w:r w:rsidR="000F36DB">
        <w:t xml:space="preserve">who say Christ is the </w:t>
      </w:r>
      <w:r w:rsidR="000F36DB">
        <w:rPr>
          <w:lang w:val="el-GR"/>
        </w:rPr>
        <w:t>φωστη</w:t>
      </w:r>
      <w:r w:rsidR="000F36DB" w:rsidRPr="000F36DB">
        <w:t>́</w:t>
      </w:r>
      <w:r w:rsidR="000F36DB">
        <w:rPr>
          <w:lang w:val="el-GR"/>
        </w:rPr>
        <w:t>ρ</w:t>
      </w:r>
      <w:r w:rsidR="00297F6F">
        <w:t>, see e</w:t>
      </w:r>
      <w:r>
        <w:t xml:space="preserve">.g. </w:t>
      </w:r>
      <w:r w:rsidR="002D01FD" w:rsidRPr="002D01FD">
        <w:t xml:space="preserve">Friedrich Jakob </w:t>
      </w:r>
      <w:proofErr w:type="spellStart"/>
      <w:r w:rsidR="002D01FD" w:rsidRPr="002D01FD">
        <w:t>Züllig</w:t>
      </w:r>
      <w:proofErr w:type="spellEnd"/>
      <w:r w:rsidR="002D01FD" w:rsidRPr="002D01FD">
        <w:t xml:space="preserve">, </w:t>
      </w:r>
      <w:r w:rsidR="002D01FD" w:rsidRPr="002D01FD">
        <w:rPr>
          <w:i/>
          <w:iCs/>
        </w:rPr>
        <w:t>Die Offenbarung Johannis</w:t>
      </w:r>
      <w:r w:rsidR="002D01FD" w:rsidRPr="002D01FD">
        <w:t xml:space="preserve">. II. </w:t>
      </w:r>
      <w:proofErr w:type="spellStart"/>
      <w:r w:rsidR="002D01FD" w:rsidRPr="002D01FD">
        <w:rPr>
          <w:i/>
          <w:iCs/>
        </w:rPr>
        <w:t>Erklärung</w:t>
      </w:r>
      <w:proofErr w:type="spellEnd"/>
      <w:r w:rsidR="002D01FD" w:rsidRPr="002D01FD">
        <w:rPr>
          <w:i/>
          <w:iCs/>
        </w:rPr>
        <w:t xml:space="preserve"> von Kap. IV–XXI</w:t>
      </w:r>
      <w:r w:rsidR="002D01FD" w:rsidRPr="002D01FD">
        <w:t xml:space="preserve"> (Stuttgart: E. </w:t>
      </w:r>
      <w:proofErr w:type="spellStart"/>
      <w:r w:rsidR="002D01FD" w:rsidRPr="002D01FD">
        <w:t>Schweitzerbarts</w:t>
      </w:r>
      <w:proofErr w:type="spellEnd"/>
      <w:r w:rsidR="002D01FD" w:rsidRPr="002D01FD">
        <w:t>, 1840), 426</w:t>
      </w:r>
      <w:r w:rsidR="002D01FD">
        <w:t xml:space="preserve">; </w:t>
      </w:r>
      <w:r w:rsidRPr="004B3422">
        <w:t xml:space="preserve">Johann Peter </w:t>
      </w:r>
      <w:r w:rsidR="0071290F" w:rsidRPr="004B3422">
        <w:t>Lange</w:t>
      </w:r>
      <w:r w:rsidR="0071290F">
        <w:t xml:space="preserve">, </w:t>
      </w:r>
      <w:r w:rsidRPr="0071290F">
        <w:rPr>
          <w:i/>
          <w:iCs/>
        </w:rPr>
        <w:t>A Commentary on the Holy Scriptures: Critical, Doctrinal, and Homiletical, with Special Reference to Ministers and Students</w:t>
      </w:r>
      <w:r w:rsidRPr="0071290F">
        <w:t>. NT X.</w:t>
      </w:r>
      <w:r w:rsidRPr="0071290F">
        <w:rPr>
          <w:i/>
          <w:iCs/>
        </w:rPr>
        <w:t xml:space="preserve"> The Revelation of John</w:t>
      </w:r>
      <w:r w:rsidRPr="004B3422">
        <w:t xml:space="preserve"> (trans Evelina Moore; ed. R.R. Craven; New York: Scribner, Armstrong, &amp; Co., 1874), 882</w:t>
      </w:r>
      <w:r w:rsidR="00297F6F">
        <w:t xml:space="preserve">; </w:t>
      </w:r>
      <w:r w:rsidR="00297F6F" w:rsidRPr="00297F6F">
        <w:t xml:space="preserve">Hendrikson, </w:t>
      </w:r>
      <w:r w:rsidR="00297F6F" w:rsidRPr="00297F6F">
        <w:rPr>
          <w:i/>
          <w:iCs/>
        </w:rPr>
        <w:t>More Than Conquerors</w:t>
      </w:r>
      <w:r w:rsidR="00297F6F" w:rsidRPr="00297F6F">
        <w:t>, 203</w:t>
      </w:r>
      <w:r w:rsidR="00297F6F">
        <w:t xml:space="preserve"> (ambiguous); </w:t>
      </w:r>
      <w:r w:rsidR="003D2BA6">
        <w:t xml:space="preserve">Edmondo F. </w:t>
      </w:r>
      <w:proofErr w:type="spellStart"/>
      <w:r w:rsidR="003D2BA6">
        <w:t>Lupieri</w:t>
      </w:r>
      <w:proofErr w:type="spellEnd"/>
      <w:r w:rsidR="003D2BA6">
        <w:t xml:space="preserve">, </w:t>
      </w:r>
      <w:r w:rsidR="003D2BA6">
        <w:rPr>
          <w:i/>
          <w:iCs/>
        </w:rPr>
        <w:t xml:space="preserve">A Commentary on the Apocalypse of John </w:t>
      </w:r>
      <w:r w:rsidR="003D2BA6">
        <w:t xml:space="preserve">(trans. M.P. Johnson and M. </w:t>
      </w:r>
      <w:proofErr w:type="spellStart"/>
      <w:r w:rsidR="003D2BA6">
        <w:t>Kamesar</w:t>
      </w:r>
      <w:proofErr w:type="spellEnd"/>
      <w:r w:rsidR="003D2BA6">
        <w:t>; Grand Rapids and Cambridge: Eerdmans</w:t>
      </w:r>
      <w:r w:rsidR="00A7001E">
        <w:t>, 2006 [Italian edn 1999]), 336, 348</w:t>
      </w:r>
      <w:r w:rsidR="0093493E">
        <w:t xml:space="preserve">; Ugo Vanni, </w:t>
      </w:r>
      <w:r w:rsidR="0093493E" w:rsidRPr="0093493E">
        <w:t xml:space="preserve">“La dimension </w:t>
      </w:r>
      <w:proofErr w:type="spellStart"/>
      <w:r w:rsidR="0093493E" w:rsidRPr="0093493E">
        <w:t>christologique</w:t>
      </w:r>
      <w:proofErr w:type="spellEnd"/>
      <w:r w:rsidR="0093493E" w:rsidRPr="0093493E">
        <w:t xml:space="preserve"> de la </w:t>
      </w:r>
      <w:proofErr w:type="spellStart"/>
      <w:r w:rsidR="0093493E" w:rsidRPr="0093493E">
        <w:t>Jérusalem</w:t>
      </w:r>
      <w:proofErr w:type="spellEnd"/>
      <w:r w:rsidR="0093493E" w:rsidRPr="0093493E">
        <w:t xml:space="preserve"> nouvelle,</w:t>
      </w:r>
      <w:r w:rsidR="0093493E">
        <w:t>”</w:t>
      </w:r>
      <w:r w:rsidR="0093493E" w:rsidRPr="0093493E">
        <w:t xml:space="preserve"> </w:t>
      </w:r>
      <w:r w:rsidR="0093493E" w:rsidRPr="0093493E">
        <w:rPr>
          <w:i/>
          <w:iCs/>
        </w:rPr>
        <w:t>RHPR</w:t>
      </w:r>
      <w:r w:rsidR="0093493E" w:rsidRPr="0093493E">
        <w:t xml:space="preserve"> 79 (1999), 119-33</w:t>
      </w:r>
      <w:r w:rsidR="0093493E">
        <w:t xml:space="preserve"> (123).</w:t>
      </w:r>
      <w:r w:rsidR="00E60FA5">
        <w:t xml:space="preserve"> </w:t>
      </w:r>
      <w:r w:rsidR="0071290F" w:rsidRPr="0071290F">
        <w:t>H.B.</w:t>
      </w:r>
      <w:r w:rsidR="0071290F">
        <w:t xml:space="preserve"> </w:t>
      </w:r>
      <w:r w:rsidR="0071290F" w:rsidRPr="0071290F">
        <w:t xml:space="preserve">Swete, </w:t>
      </w:r>
      <w:r w:rsidR="0071290F" w:rsidRPr="0071290F">
        <w:rPr>
          <w:i/>
          <w:iCs/>
        </w:rPr>
        <w:t>The Apocalypse of St John</w:t>
      </w:r>
      <w:r w:rsidR="0071290F" w:rsidRPr="0071290F">
        <w:t xml:space="preserve"> (London: Macmillan, 1906), 281</w:t>
      </w:r>
      <w:r w:rsidR="0071290F">
        <w:t>, reading as a postmillennialist, says that the luminary of the Church is “her witness to Christ,” which makes little sense.</w:t>
      </w:r>
    </w:p>
  </w:footnote>
  <w:footnote w:id="24">
    <w:p w14:paraId="19BB624F" w14:textId="60BEC144" w:rsidR="0016649A" w:rsidRDefault="0016649A">
      <w:pPr>
        <w:pStyle w:val="FootnoteText"/>
      </w:pPr>
      <w:r>
        <w:rPr>
          <w:rStyle w:val="FootnoteReference"/>
        </w:rPr>
        <w:footnoteRef/>
      </w:r>
      <w:r>
        <w:t xml:space="preserve"> </w:t>
      </w:r>
      <w:r w:rsidRPr="0016649A">
        <w:t xml:space="preserve">ἡ γὰρ δόξα τοῦ </w:t>
      </w:r>
      <w:proofErr w:type="spellStart"/>
      <w:r w:rsidRPr="0016649A">
        <w:t>θεοῦ</w:t>
      </w:r>
      <w:proofErr w:type="spellEnd"/>
      <w:r w:rsidRPr="0016649A">
        <w:t xml:space="preserve"> </w:t>
      </w:r>
      <w:proofErr w:type="spellStart"/>
      <w:r w:rsidRPr="0016649A">
        <w:t>ἐφώτισεν</w:t>
      </w:r>
      <w:proofErr w:type="spellEnd"/>
      <w:r w:rsidRPr="0016649A">
        <w:t xml:space="preserve"> α</w:t>
      </w:r>
      <w:proofErr w:type="spellStart"/>
      <w:r w:rsidRPr="0016649A">
        <w:t>ὐτήν</w:t>
      </w:r>
      <w:proofErr w:type="spellEnd"/>
      <w:r w:rsidRPr="0016649A">
        <w:t>, a gnomic or constative aorist</w:t>
      </w:r>
      <w:r>
        <w:t>.</w:t>
      </w:r>
    </w:p>
  </w:footnote>
  <w:footnote w:id="25">
    <w:p w14:paraId="760E2141" w14:textId="2C9D5AC7" w:rsidR="005424EF" w:rsidRDefault="005424EF">
      <w:pPr>
        <w:pStyle w:val="FootnoteText"/>
      </w:pPr>
      <w:r>
        <w:rPr>
          <w:rStyle w:val="FootnoteReference"/>
        </w:rPr>
        <w:footnoteRef/>
      </w:r>
      <w:r>
        <w:t xml:space="preserve"> ESV be their light. Gr. </w:t>
      </w:r>
      <w:proofErr w:type="spellStart"/>
      <w:r w:rsidRPr="005424EF">
        <w:t>φωτίσει</w:t>
      </w:r>
      <w:proofErr w:type="spellEnd"/>
      <w:r w:rsidRPr="005424EF">
        <w:t xml:space="preserve"> ἐπ᾽ α</w:t>
      </w:r>
      <w:proofErr w:type="spellStart"/>
      <w:r w:rsidRPr="005424EF">
        <w:t>ὐτούς</w:t>
      </w:r>
      <w:proofErr w:type="spellEnd"/>
      <w:r>
        <w:t>.</w:t>
      </w:r>
    </w:p>
  </w:footnote>
  <w:footnote w:id="26">
    <w:p w14:paraId="743ACB74" w14:textId="68BF791F" w:rsidR="007F62CA" w:rsidRDefault="007F62CA">
      <w:pPr>
        <w:pStyle w:val="FootnoteText"/>
      </w:pPr>
      <w:r>
        <w:rPr>
          <w:rStyle w:val="FootnoteReference"/>
        </w:rPr>
        <w:footnoteRef/>
      </w:r>
      <w:r>
        <w:t xml:space="preserve"> Jesus calls himself “the Son of God” once in Revelation (2:18), but John and other characters in his visions call him “the Lamb” 25 times, keeping </w:t>
      </w:r>
      <w:r w:rsidR="00E60FA5">
        <w:t xml:space="preserve">the focus on </w:t>
      </w:r>
      <w:r>
        <w:t>his identity as the redeemer who gave his life up as a sacrifice.</w:t>
      </w:r>
    </w:p>
  </w:footnote>
  <w:footnote w:id="27">
    <w:p w14:paraId="756EE5BB" w14:textId="720B657B" w:rsidR="0016649A" w:rsidRDefault="0016649A">
      <w:pPr>
        <w:pStyle w:val="FootnoteText"/>
      </w:pPr>
      <w:r>
        <w:rPr>
          <w:rStyle w:val="FootnoteReference"/>
        </w:rPr>
        <w:footnoteRef/>
      </w:r>
      <w:r>
        <w:t xml:space="preserve"> This is </w:t>
      </w:r>
      <w:r w:rsidRPr="0016649A">
        <w:t xml:space="preserve">the </w:t>
      </w:r>
      <w:proofErr w:type="spellStart"/>
      <w:r w:rsidRPr="009A131A">
        <w:rPr>
          <w:i/>
          <w:iCs/>
        </w:rPr>
        <w:t>rāqîʿa</w:t>
      </w:r>
      <w:proofErr w:type="spellEnd"/>
      <w:r w:rsidRPr="0016649A">
        <w:t>/</w:t>
      </w:r>
      <w:proofErr w:type="spellStart"/>
      <w:r w:rsidRPr="0016649A">
        <w:t>στερέωμ</w:t>
      </w:r>
      <w:proofErr w:type="spellEnd"/>
      <w:r w:rsidRPr="0016649A">
        <w:t>α of Gen. 1:6</w:t>
      </w:r>
      <w:r>
        <w:t xml:space="preserve">; </w:t>
      </w:r>
      <w:r w:rsidR="00E60FA5">
        <w:t xml:space="preserve">Exod. 24:10; </w:t>
      </w:r>
      <w:r>
        <w:t xml:space="preserve">Ezek. 1:22, 26; 10:1, </w:t>
      </w:r>
      <w:r w:rsidR="00E60FA5">
        <w:t xml:space="preserve">Rev. 4:6; </w:t>
      </w:r>
      <w:r>
        <w:t>etc.</w:t>
      </w:r>
    </w:p>
  </w:footnote>
  <w:footnote w:id="28">
    <w:p w14:paraId="61CEBF63" w14:textId="708E4098" w:rsidR="0019761E" w:rsidRDefault="0019761E">
      <w:pPr>
        <w:pStyle w:val="FootnoteText"/>
      </w:pPr>
      <w:r>
        <w:rPr>
          <w:rStyle w:val="FootnoteReference"/>
        </w:rPr>
        <w:footnoteRef/>
      </w:r>
      <w:r>
        <w:t xml:space="preserve"> Gr. </w:t>
      </w:r>
      <w:proofErr w:type="spellStart"/>
      <w:r w:rsidRPr="0019761E">
        <w:t>ἀνὰ</w:t>
      </w:r>
      <w:proofErr w:type="spellEnd"/>
      <w:r w:rsidRPr="0019761E">
        <w:t xml:space="preserve"> </w:t>
      </w:r>
      <w:proofErr w:type="spellStart"/>
      <w:r w:rsidRPr="0019761E">
        <w:t>μέσον</w:t>
      </w:r>
      <w:proofErr w:type="spellEnd"/>
      <w:r w:rsidRPr="0019761E">
        <w:t xml:space="preserve"> τοῦ θρόνου</w:t>
      </w:r>
      <w:r>
        <w:t>.</w:t>
      </w:r>
    </w:p>
  </w:footnote>
  <w:footnote w:id="29">
    <w:p w14:paraId="19377BDE" w14:textId="6C977845" w:rsidR="00FF34FF" w:rsidRDefault="00FF34FF">
      <w:pPr>
        <w:pStyle w:val="FootnoteText"/>
      </w:pPr>
      <w:r>
        <w:rPr>
          <w:rStyle w:val="FootnoteReference"/>
        </w:rPr>
        <w:footnoteRef/>
      </w:r>
      <w:r>
        <w:t xml:space="preserve"> E.g. 4:1, cf. 1:10; 12:5, cf. 2:27; 19:11, cf. 3:14; </w:t>
      </w:r>
      <w:r w:rsidR="002222B0">
        <w:t xml:space="preserve">19:12, cf. 1:14; 19:15, cf. 1:16; </w:t>
      </w:r>
      <w:r>
        <w:t>20:11, cf. 6:14-16</w:t>
      </w:r>
      <w:r w:rsidR="002222B0">
        <w:t>; 21:2, 10, cf. 3:12; etc</w:t>
      </w:r>
      <w:r>
        <w:t>.</w:t>
      </w:r>
    </w:p>
  </w:footnote>
  <w:footnote w:id="30">
    <w:p w14:paraId="718884FE" w14:textId="416F4A2C" w:rsidR="00D26D8E" w:rsidRDefault="00D26D8E">
      <w:pPr>
        <w:pStyle w:val="FootnoteText"/>
      </w:pPr>
      <w:r>
        <w:rPr>
          <w:rStyle w:val="FootnoteReference"/>
        </w:rPr>
        <w:footnoteRef/>
      </w:r>
      <w:r>
        <w:t xml:space="preserve"> Cf. Isa. 25:4-8; Rev. 7:16-17; Rev. 21:3-6.</w:t>
      </w:r>
    </w:p>
  </w:footnote>
  <w:footnote w:id="31">
    <w:p w14:paraId="00755915" w14:textId="7D53BE8F" w:rsidR="00C90558" w:rsidRDefault="00C90558">
      <w:pPr>
        <w:pStyle w:val="FootnoteText"/>
      </w:pPr>
      <w:r>
        <w:rPr>
          <w:rStyle w:val="FootnoteReference"/>
        </w:rPr>
        <w:footnoteRef/>
      </w:r>
      <w:r>
        <w:t xml:space="preserve"> Cf. Isa. 54:12, LXX, which says God will make Jerusalem’s battlements </w:t>
      </w:r>
      <w:r w:rsidR="007C4867">
        <w:t>of jasper (</w:t>
      </w:r>
      <w:r w:rsidR="007C4867" w:rsidRPr="007C4867">
        <w:t xml:space="preserve">καὶ </w:t>
      </w:r>
      <w:proofErr w:type="spellStart"/>
      <w:r w:rsidR="007C4867" w:rsidRPr="007C4867">
        <w:t>θήσω</w:t>
      </w:r>
      <w:proofErr w:type="spellEnd"/>
      <w:r w:rsidR="007C4867" w:rsidRPr="007C4867">
        <w:t xml:space="preserve"> </w:t>
      </w:r>
      <w:proofErr w:type="spellStart"/>
      <w:r w:rsidR="007C4867" w:rsidRPr="007C4867">
        <w:t>τὰς</w:t>
      </w:r>
      <w:proofErr w:type="spellEnd"/>
      <w:r w:rsidR="007C4867" w:rsidRPr="007C4867">
        <w:t xml:space="preserve"> ἐπ</w:t>
      </w:r>
      <w:proofErr w:type="spellStart"/>
      <w:r w:rsidR="007C4867" w:rsidRPr="007C4867">
        <w:t>άλξεις</w:t>
      </w:r>
      <w:proofErr w:type="spellEnd"/>
      <w:r w:rsidR="007C4867" w:rsidRPr="007C4867">
        <w:t xml:space="preserve"> σου ἴασπ</w:t>
      </w:r>
      <w:proofErr w:type="spellStart"/>
      <w:r w:rsidR="007C4867" w:rsidRPr="007C4867">
        <w:t>ιν</w:t>
      </w:r>
      <w:proofErr w:type="spellEnd"/>
      <w:r w:rsidR="007C4867">
        <w:t>).</w:t>
      </w:r>
    </w:p>
  </w:footnote>
  <w:footnote w:id="32">
    <w:p w14:paraId="40BB3480" w14:textId="514BCADE" w:rsidR="00B61CBE" w:rsidRPr="00B61CBE" w:rsidRDefault="00B61CBE">
      <w:pPr>
        <w:pStyle w:val="FootnoteText"/>
      </w:pPr>
      <w:r>
        <w:rPr>
          <w:rStyle w:val="FootnoteReference"/>
        </w:rPr>
        <w:footnoteRef/>
      </w:r>
      <w:r>
        <w:t xml:space="preserve"> </w:t>
      </w:r>
      <w:r w:rsidR="0011082B">
        <w:t xml:space="preserve">Cf. </w:t>
      </w:r>
      <w:r>
        <w:t xml:space="preserve">Mounce, </w:t>
      </w:r>
      <w:r>
        <w:rPr>
          <w:i/>
          <w:iCs/>
        </w:rPr>
        <w:t>Revelation</w:t>
      </w:r>
      <w:r>
        <w:t>, 378-79</w:t>
      </w:r>
      <w:r w:rsidR="0011082B">
        <w:t>.</w:t>
      </w:r>
    </w:p>
  </w:footnote>
  <w:footnote w:id="33">
    <w:p w14:paraId="16DC80FB" w14:textId="202A3165" w:rsidR="008C03C8" w:rsidRDefault="008C03C8">
      <w:pPr>
        <w:pStyle w:val="FootnoteText"/>
      </w:pPr>
      <w:r>
        <w:rPr>
          <w:rStyle w:val="FootnoteReference"/>
        </w:rPr>
        <w:footnoteRef/>
      </w:r>
      <w:r>
        <w:t xml:space="preserve"> Cf. 1 Kgs 6:20; 2 Chron. 3:8.</w:t>
      </w:r>
    </w:p>
  </w:footnote>
  <w:footnote w:id="34">
    <w:p w14:paraId="72B72507" w14:textId="1096C9F0" w:rsidR="00DB658A" w:rsidRDefault="00DB658A">
      <w:pPr>
        <w:pStyle w:val="FootnoteText"/>
      </w:pPr>
      <w:r>
        <w:rPr>
          <w:rStyle w:val="FootnoteReference"/>
        </w:rPr>
        <w:footnoteRef/>
      </w:r>
      <w:r>
        <w:t xml:space="preserve"> </w:t>
      </w:r>
      <w:r>
        <w:rPr>
          <w:i/>
          <w:iCs/>
        </w:rPr>
        <w:t xml:space="preserve">After the Thousand </w:t>
      </w:r>
      <w:r w:rsidRPr="00DB658A">
        <w:rPr>
          <w:i/>
          <w:iCs/>
        </w:rPr>
        <w:t>Years</w:t>
      </w:r>
      <w:r>
        <w:t xml:space="preserve">, 143. </w:t>
      </w:r>
      <w:r w:rsidRPr="00DB658A">
        <w:t>God’s</w:t>
      </w:r>
      <w:r>
        <w:t xml:space="preserve"> throne is mentioned 39 times in Revelation.</w:t>
      </w:r>
    </w:p>
  </w:footnote>
  <w:footnote w:id="35">
    <w:p w14:paraId="4E2404C9" w14:textId="4495D045" w:rsidR="0011082B" w:rsidRPr="0011082B" w:rsidRDefault="0011082B">
      <w:pPr>
        <w:pStyle w:val="FootnoteText"/>
      </w:pPr>
      <w:r>
        <w:rPr>
          <w:rStyle w:val="FootnoteReference"/>
        </w:rPr>
        <w:footnoteRef/>
      </w:r>
      <w:r w:rsidR="004E1E96">
        <w:t xml:space="preserve"> </w:t>
      </w:r>
      <w:r w:rsidR="00CF7B78">
        <w:t>See</w:t>
      </w:r>
      <w:r>
        <w:t xml:space="preserve"> Robert H. Gundry, “The New Jerusalem: People as Place, Not Place for People,” </w:t>
      </w:r>
      <w:proofErr w:type="spellStart"/>
      <w:r>
        <w:rPr>
          <w:i/>
          <w:iCs/>
        </w:rPr>
        <w:t>NovT</w:t>
      </w:r>
      <w:proofErr w:type="spellEnd"/>
      <w:r>
        <w:t xml:space="preserve"> 29 (1987), 254-64</w:t>
      </w:r>
      <w:r w:rsidR="001C111D">
        <w:t>.</w:t>
      </w:r>
    </w:p>
  </w:footnote>
  <w:footnote w:id="36">
    <w:p w14:paraId="73AD7EDD" w14:textId="265E203D" w:rsidR="001C2184" w:rsidRPr="001C2184" w:rsidRDefault="001C2184">
      <w:pPr>
        <w:pStyle w:val="FootnoteText"/>
      </w:pPr>
      <w:r>
        <w:rPr>
          <w:rStyle w:val="FootnoteReference"/>
        </w:rPr>
        <w:footnoteRef/>
      </w:r>
      <w:r w:rsidRPr="001C2184">
        <w:t xml:space="preserve"> </w:t>
      </w:r>
      <w:r w:rsidR="004E1E96">
        <w:t>C</w:t>
      </w:r>
      <w:r w:rsidRPr="001C2184">
        <w:t>f. Rev. 7:17; Ps. 46:4; Jer. 2:13; 17:13b; Ezek. 47:1; Zech. 14:8.</w:t>
      </w:r>
    </w:p>
  </w:footnote>
  <w:footnote w:id="37">
    <w:p w14:paraId="7D87F528" w14:textId="1AD78CA5" w:rsidR="00DB4677" w:rsidRPr="00B91484" w:rsidRDefault="00DB4677" w:rsidP="00DB4677">
      <w:pPr>
        <w:spacing w:after="0"/>
        <w:rPr>
          <w:rFonts w:ascii="Times New Roman" w:eastAsia="Times New Roman" w:hAnsi="Times New Roman" w:cs="Times New Roman"/>
          <w:sz w:val="20"/>
          <w:szCs w:val="20"/>
        </w:rPr>
      </w:pPr>
      <w:r>
        <w:rPr>
          <w:rStyle w:val="FootnoteReference"/>
        </w:rPr>
        <w:footnoteRef/>
      </w:r>
      <w:r>
        <w:t xml:space="preserve"> </w:t>
      </w:r>
      <w:r w:rsidRPr="00B91484">
        <w:rPr>
          <w:rFonts w:ascii="Times New Roman" w:eastAsia="Times New Roman" w:hAnsi="Times New Roman" w:cs="Times New Roman"/>
          <w:sz w:val="20"/>
          <w:szCs w:val="20"/>
        </w:rPr>
        <w:t xml:space="preserve">E. Isaac, “1 (Ethiopic Apocalypse of) Enoch,” in James Charlesworth, ed., </w:t>
      </w:r>
      <w:r w:rsidRPr="00B91484">
        <w:rPr>
          <w:rFonts w:ascii="Times New Roman" w:eastAsia="Times New Roman" w:hAnsi="Times New Roman" w:cs="Times New Roman"/>
          <w:i/>
          <w:iCs/>
          <w:sz w:val="20"/>
          <w:szCs w:val="20"/>
        </w:rPr>
        <w:t>The Pseudepigrapha of the Old Testament Volume One: Apocalyptic Literature and Testaments</w:t>
      </w:r>
      <w:r w:rsidRPr="00B91484">
        <w:rPr>
          <w:rFonts w:ascii="Times New Roman" w:eastAsia="Times New Roman" w:hAnsi="Times New Roman" w:cs="Times New Roman"/>
          <w:sz w:val="20"/>
          <w:szCs w:val="20"/>
        </w:rPr>
        <w:t xml:space="preserve"> (Peabody, MA: Hendrickson, 1983 [orig. pub. New Haven: Yale University Press, 1983), pp. 5-90 (23). </w:t>
      </w:r>
    </w:p>
  </w:footnote>
  <w:footnote w:id="38">
    <w:p w14:paraId="4A02EE93" w14:textId="1782C3FF" w:rsidR="00602FFE" w:rsidRPr="00602FFE" w:rsidRDefault="00602FFE">
      <w:pPr>
        <w:pStyle w:val="FootnoteText"/>
      </w:pPr>
      <w:r>
        <w:rPr>
          <w:rStyle w:val="FootnoteReference"/>
        </w:rPr>
        <w:footnoteRef/>
      </w:r>
      <w:r>
        <w:t xml:space="preserve"> </w:t>
      </w:r>
      <w:r w:rsidR="00CF7B78">
        <w:t xml:space="preserve">The noun in v. 13, </w:t>
      </w:r>
      <w:proofErr w:type="spellStart"/>
      <w:r w:rsidR="00CF7B78">
        <w:rPr>
          <w:i/>
          <w:iCs/>
        </w:rPr>
        <w:t>môšāb</w:t>
      </w:r>
      <w:proofErr w:type="spellEnd"/>
      <w:r w:rsidR="00CF7B78">
        <w:t xml:space="preserve">, dwelling place, comes from the root </w:t>
      </w:r>
      <w:proofErr w:type="spellStart"/>
      <w:r w:rsidR="00CF7B78">
        <w:rPr>
          <w:i/>
          <w:iCs/>
        </w:rPr>
        <w:t>yšb</w:t>
      </w:r>
      <w:proofErr w:type="spellEnd"/>
      <w:r w:rsidR="00CF7B78">
        <w:t xml:space="preserve">, source of the verb </w:t>
      </w:r>
      <w:proofErr w:type="spellStart"/>
      <w:r w:rsidR="00CF7B78">
        <w:rPr>
          <w:i/>
          <w:iCs/>
        </w:rPr>
        <w:t>yāšab</w:t>
      </w:r>
      <w:proofErr w:type="spellEnd"/>
      <w:r w:rsidR="00CF7B78" w:rsidRPr="00D4431E">
        <w:rPr>
          <w:i/>
          <w:iCs/>
        </w:rPr>
        <w:t xml:space="preserve"> </w:t>
      </w:r>
      <w:r w:rsidR="00CF7B78">
        <w:t xml:space="preserve">and the first-person </w:t>
      </w:r>
      <w:proofErr w:type="spellStart"/>
      <w:r w:rsidR="00CF7B78">
        <w:t>imperfect</w:t>
      </w:r>
      <w:r w:rsidR="00CF7B78" w:rsidRPr="00D4431E">
        <w:rPr>
          <w:i/>
          <w:iCs/>
        </w:rPr>
        <w:t>ʾe</w:t>
      </w:r>
      <w:r w:rsidR="00CF7B78">
        <w:rPr>
          <w:i/>
          <w:iCs/>
        </w:rPr>
        <w:t>̄</w:t>
      </w:r>
      <w:r w:rsidR="00CF7B78" w:rsidRPr="00D4431E">
        <w:rPr>
          <w:i/>
          <w:iCs/>
        </w:rPr>
        <w:t>še</w:t>
      </w:r>
      <w:r w:rsidR="00CF7B78">
        <w:rPr>
          <w:i/>
          <w:iCs/>
        </w:rPr>
        <w:t>̄</w:t>
      </w:r>
      <w:r w:rsidR="00CF7B78" w:rsidRPr="00D4431E">
        <w:rPr>
          <w:i/>
          <w:iCs/>
        </w:rPr>
        <w:t>b</w:t>
      </w:r>
      <w:proofErr w:type="spellEnd"/>
      <w:r w:rsidR="00CF7B78">
        <w:t xml:space="preserve"> in v. 14. </w:t>
      </w:r>
      <w:r>
        <w:t>Th</w:t>
      </w:r>
      <w:r w:rsidR="00CF7B78">
        <w:t xml:space="preserve">e words </w:t>
      </w:r>
      <w:proofErr w:type="spellStart"/>
      <w:r w:rsidR="00CF7B78">
        <w:rPr>
          <w:i/>
          <w:iCs/>
        </w:rPr>
        <w:t>môšāb</w:t>
      </w:r>
      <w:proofErr w:type="spellEnd"/>
      <w:r w:rsidR="00CF7B78">
        <w:rPr>
          <w:i/>
          <w:iCs/>
        </w:rPr>
        <w:t xml:space="preserve"> lô</w:t>
      </w:r>
      <w:r>
        <w:t xml:space="preserve"> could be translated as “his seat” </w:t>
      </w:r>
      <w:r w:rsidR="00CF7B78">
        <w:t xml:space="preserve">or even “his throne.” </w:t>
      </w:r>
      <w:r>
        <w:t>Cf. Psa. 1:1, which blesses the person who does not sit (</w:t>
      </w:r>
      <w:proofErr w:type="spellStart"/>
      <w:r>
        <w:rPr>
          <w:i/>
          <w:iCs/>
        </w:rPr>
        <w:t>yāšab</w:t>
      </w:r>
      <w:proofErr w:type="spellEnd"/>
      <w:r>
        <w:t>) in the seat (</w:t>
      </w:r>
      <w:proofErr w:type="spellStart"/>
      <w:r>
        <w:rPr>
          <w:i/>
          <w:iCs/>
        </w:rPr>
        <w:t>môšāb</w:t>
      </w:r>
      <w:proofErr w:type="spellEnd"/>
      <w:r>
        <w:t>)</w:t>
      </w:r>
      <w:r w:rsidR="005470AB">
        <w:t xml:space="preserve"> of the seat of scoffers. Similarly, see Ezek. 28:2, in which the prince of Tyre boasts that he sits (</w:t>
      </w:r>
      <w:proofErr w:type="spellStart"/>
      <w:r w:rsidR="005470AB">
        <w:rPr>
          <w:i/>
          <w:iCs/>
        </w:rPr>
        <w:t>yāšab</w:t>
      </w:r>
      <w:proofErr w:type="spellEnd"/>
      <w:r w:rsidR="005470AB">
        <w:t>) in the seat (</w:t>
      </w:r>
      <w:proofErr w:type="spellStart"/>
      <w:r w:rsidR="005470AB">
        <w:rPr>
          <w:i/>
          <w:iCs/>
        </w:rPr>
        <w:t>môšāb</w:t>
      </w:r>
      <w:proofErr w:type="spellEnd"/>
      <w:r w:rsidR="005470AB">
        <w:t>) of the gods.</w:t>
      </w:r>
    </w:p>
  </w:footnote>
  <w:footnote w:id="39">
    <w:p w14:paraId="6BE51FBF" w14:textId="18DC5523" w:rsidR="00CF7B78" w:rsidRPr="004A17D6" w:rsidRDefault="00CF7B78" w:rsidP="00710EB2">
      <w:pPr>
        <w:pStyle w:val="FootnoteText"/>
        <w:rPr>
          <w:i/>
          <w:iCs/>
        </w:rPr>
      </w:pPr>
      <w:r>
        <w:rPr>
          <w:rStyle w:val="FootnoteReference"/>
        </w:rPr>
        <w:footnoteRef/>
      </w:r>
      <w:r>
        <w:t xml:space="preserve"> The verb </w:t>
      </w:r>
      <w:proofErr w:type="spellStart"/>
      <w:r>
        <w:rPr>
          <w:i/>
          <w:iCs/>
        </w:rPr>
        <w:t>yāšab</w:t>
      </w:r>
      <w:proofErr w:type="spellEnd"/>
      <w:r>
        <w:t xml:space="preserve"> is the verb often used in the psalms to refer to God’s relationship to his throne—</w:t>
      </w:r>
      <w:r>
        <w:rPr>
          <w:i/>
          <w:iCs/>
        </w:rPr>
        <w:t xml:space="preserve"> </w:t>
      </w:r>
      <w:proofErr w:type="spellStart"/>
      <w:r>
        <w:rPr>
          <w:i/>
          <w:iCs/>
        </w:rPr>
        <w:t>yāšabta</w:t>
      </w:r>
      <w:proofErr w:type="spellEnd"/>
      <w:r>
        <w:rPr>
          <w:i/>
          <w:iCs/>
        </w:rPr>
        <w:t xml:space="preserve">̄ </w:t>
      </w:r>
      <w:proofErr w:type="spellStart"/>
      <w:r>
        <w:rPr>
          <w:i/>
          <w:iCs/>
        </w:rPr>
        <w:t>ləkisse</w:t>
      </w:r>
      <w:proofErr w:type="spellEnd"/>
      <w:r>
        <w:rPr>
          <w:i/>
          <w:iCs/>
        </w:rPr>
        <w:t xml:space="preserve">̄ </w:t>
      </w:r>
      <w:proofErr w:type="spellStart"/>
      <w:r>
        <w:rPr>
          <w:i/>
          <w:iCs/>
        </w:rPr>
        <w:t>šôpēt</w:t>
      </w:r>
      <w:proofErr w:type="spellEnd"/>
      <w:r>
        <w:rPr>
          <w:i/>
          <w:iCs/>
        </w:rPr>
        <w:t xml:space="preserve">̣ </w:t>
      </w:r>
      <w:proofErr w:type="spellStart"/>
      <w:r>
        <w:rPr>
          <w:i/>
          <w:iCs/>
        </w:rPr>
        <w:t>ṣedeq</w:t>
      </w:r>
      <w:proofErr w:type="spellEnd"/>
      <w:r>
        <w:t>,</w:t>
      </w:r>
      <w:r w:rsidRPr="00B91484">
        <w:t xml:space="preserve"> you have sat on the throne, giving righteous judgment </w:t>
      </w:r>
      <w:r>
        <w:t xml:space="preserve">(Ps. 9:4); </w:t>
      </w:r>
      <w:proofErr w:type="spellStart"/>
      <w:r>
        <w:t>ʾ</w:t>
      </w:r>
      <w:r>
        <w:rPr>
          <w:i/>
          <w:iCs/>
        </w:rPr>
        <w:t>ĕlôhîm</w:t>
      </w:r>
      <w:proofErr w:type="spellEnd"/>
      <w:r>
        <w:rPr>
          <w:i/>
          <w:iCs/>
        </w:rPr>
        <w:t xml:space="preserve"> </w:t>
      </w:r>
      <w:proofErr w:type="spellStart"/>
      <w:r>
        <w:rPr>
          <w:i/>
          <w:iCs/>
        </w:rPr>
        <w:t>yāšab</w:t>
      </w:r>
      <w:proofErr w:type="spellEnd"/>
      <w:r>
        <w:rPr>
          <w:i/>
          <w:iCs/>
        </w:rPr>
        <w:t xml:space="preserve"> </w:t>
      </w:r>
      <w:proofErr w:type="spellStart"/>
      <w:r>
        <w:rPr>
          <w:i/>
          <w:iCs/>
        </w:rPr>
        <w:t>ʿal-kissēʾ</w:t>
      </w:r>
      <w:proofErr w:type="spellEnd"/>
      <w:r>
        <w:rPr>
          <w:i/>
          <w:iCs/>
        </w:rPr>
        <w:t xml:space="preserve"> </w:t>
      </w:r>
      <w:proofErr w:type="spellStart"/>
      <w:r>
        <w:rPr>
          <w:i/>
          <w:iCs/>
        </w:rPr>
        <w:t>qodšo</w:t>
      </w:r>
      <w:proofErr w:type="spellEnd"/>
      <w:r>
        <w:rPr>
          <w:i/>
          <w:iCs/>
        </w:rPr>
        <w:t>̂</w:t>
      </w:r>
      <w:r>
        <w:t xml:space="preserve">, </w:t>
      </w:r>
      <w:r w:rsidRPr="00B91484">
        <w:t>God sits on his holy throne</w:t>
      </w:r>
      <w:r>
        <w:t xml:space="preserve"> (Ps. 47:8). See also Ps. 9:7, 11; 29:10; 99:1; 102:12; 113:5; 123:1, for uses of </w:t>
      </w:r>
      <w:proofErr w:type="spellStart"/>
      <w:r>
        <w:rPr>
          <w:i/>
          <w:iCs/>
        </w:rPr>
        <w:t>yāšab</w:t>
      </w:r>
      <w:proofErr w:type="spellEnd"/>
      <w:r>
        <w:t xml:space="preserve"> that convey the idea of God’s enthronement but do not use the word throne (</w:t>
      </w:r>
      <w:proofErr w:type="spellStart"/>
      <w:r>
        <w:rPr>
          <w:i/>
          <w:iCs/>
        </w:rPr>
        <w:t>kissēʾ</w:t>
      </w:r>
      <w:proofErr w:type="spellEnd"/>
      <w:r>
        <w:t>).</w:t>
      </w:r>
      <w:r w:rsidR="004A17D6">
        <w:t xml:space="preserve"> </w:t>
      </w:r>
      <w:r w:rsidR="00710EB2">
        <w:t xml:space="preserve">In John’s mind, the first words of </w:t>
      </w:r>
      <w:r w:rsidR="004A17D6">
        <w:t>Rev. 21:5</w:t>
      </w:r>
      <w:r w:rsidR="00710EB2">
        <w:t xml:space="preserve">, </w:t>
      </w:r>
      <w:r w:rsidR="00710EB2" w:rsidRPr="00710EB2">
        <w:t>καὶ εἶπεν ὁ κα</w:t>
      </w:r>
      <w:proofErr w:type="spellStart"/>
      <w:r w:rsidR="00710EB2" w:rsidRPr="00710EB2">
        <w:t>θήμενος</w:t>
      </w:r>
      <w:proofErr w:type="spellEnd"/>
      <w:r w:rsidR="00710EB2" w:rsidRPr="00710EB2">
        <w:t xml:space="preserve"> ἐπὶ τῷ </w:t>
      </w:r>
      <w:proofErr w:type="spellStart"/>
      <w:r w:rsidR="00710EB2" w:rsidRPr="00710EB2">
        <w:t>θρόνῳ</w:t>
      </w:r>
      <w:proofErr w:type="spellEnd"/>
      <w:r w:rsidR="00710EB2">
        <w:t>,</w:t>
      </w:r>
      <w:r w:rsidR="004A17D6">
        <w:t xml:space="preserve"> would naturally </w:t>
      </w:r>
      <w:r w:rsidR="00710EB2">
        <w:t xml:space="preserve">have been heard in </w:t>
      </w:r>
      <w:r w:rsidR="004A17D6">
        <w:t xml:space="preserve">Hebrew as </w:t>
      </w:r>
      <w:proofErr w:type="spellStart"/>
      <w:r w:rsidR="004A17D6">
        <w:rPr>
          <w:i/>
          <w:iCs/>
        </w:rPr>
        <w:t>wayyōʾmer</w:t>
      </w:r>
      <w:proofErr w:type="spellEnd"/>
      <w:r w:rsidR="004A17D6">
        <w:rPr>
          <w:i/>
          <w:iCs/>
        </w:rPr>
        <w:t xml:space="preserve"> </w:t>
      </w:r>
      <w:proofErr w:type="spellStart"/>
      <w:r w:rsidR="004A17D6">
        <w:rPr>
          <w:i/>
          <w:iCs/>
        </w:rPr>
        <w:t>hayyōšēb</w:t>
      </w:r>
      <w:proofErr w:type="spellEnd"/>
      <w:r w:rsidR="004A17D6">
        <w:rPr>
          <w:i/>
          <w:iCs/>
        </w:rPr>
        <w:t xml:space="preserve"> </w:t>
      </w:r>
      <w:proofErr w:type="spellStart"/>
      <w:r w:rsidR="004A17D6">
        <w:rPr>
          <w:i/>
          <w:iCs/>
        </w:rPr>
        <w:t>ʿal-kissēʾ</w:t>
      </w:r>
      <w:proofErr w:type="spellEnd"/>
      <w:r w:rsidR="00710EB2">
        <w:rPr>
          <w:i/>
          <w:iCs/>
        </w:rPr>
        <w:t>.</w:t>
      </w:r>
    </w:p>
  </w:footnote>
  <w:footnote w:id="40">
    <w:p w14:paraId="503317A8" w14:textId="62431A27" w:rsidR="00741347" w:rsidRDefault="00741347" w:rsidP="00741347">
      <w:pPr>
        <w:pStyle w:val="FootnoteText"/>
      </w:pPr>
      <w:r>
        <w:rPr>
          <w:rStyle w:val="FootnoteReference"/>
        </w:rPr>
        <w:footnoteRef/>
      </w:r>
      <w:r>
        <w:t xml:space="preserve"> </w:t>
      </w:r>
      <w:r w:rsidRPr="00E876A4">
        <w:rPr>
          <w14:ligatures w14:val="historicalDiscretional"/>
        </w:rPr>
        <w:t xml:space="preserve">LSJ </w:t>
      </w:r>
      <w:r>
        <w:rPr>
          <w14:ligatures w14:val="historicalDiscretional"/>
        </w:rPr>
        <w:t>first definition of</w:t>
      </w:r>
      <w:r w:rsidRPr="00E876A4">
        <w:rPr>
          <w14:ligatures w14:val="historicalDiscretional"/>
        </w:rPr>
        <w:t xml:space="preserve"> λίμνη </w:t>
      </w:r>
      <w:r>
        <w:rPr>
          <w14:ligatures w14:val="historicalDiscretional"/>
        </w:rPr>
        <w:t xml:space="preserve">is </w:t>
      </w:r>
      <w:r w:rsidRPr="00E876A4">
        <w:rPr>
          <w14:ligatures w14:val="historicalDiscretional"/>
        </w:rPr>
        <w:t xml:space="preserve">“a pool of water left by the sea or a river.” It is easy enough to picture the “river of fire” that comes from the throne of God in Dan. 7:9-11 going forth to inundate and incinerate the fourth beast (cf. Rev. 19:20). </w:t>
      </w:r>
      <w:r>
        <w:rPr>
          <w14:ligatures w14:val="historicalDiscretional"/>
        </w:rPr>
        <w:t>Similarly,</w:t>
      </w:r>
      <w:r w:rsidRPr="00E876A4">
        <w:rPr>
          <w14:ligatures w14:val="historicalDiscretional"/>
        </w:rPr>
        <w:t xml:space="preserve"> </w:t>
      </w:r>
      <w:r>
        <w:rPr>
          <w14:ligatures w14:val="historicalDiscretional"/>
        </w:rPr>
        <w:t xml:space="preserve">in reading Rev. 20:9, one can easily </w:t>
      </w:r>
      <w:r w:rsidRPr="00E876A4">
        <w:rPr>
          <w14:ligatures w14:val="historicalDiscretional"/>
        </w:rPr>
        <w:t xml:space="preserve">imagine </w:t>
      </w:r>
      <w:r>
        <w:rPr>
          <w14:ligatures w14:val="historicalDiscretional"/>
        </w:rPr>
        <w:t xml:space="preserve">that the </w:t>
      </w:r>
      <w:r w:rsidRPr="00E876A4">
        <w:rPr>
          <w14:ligatures w14:val="historicalDiscretional"/>
        </w:rPr>
        <w:t>deluge of fiery destruction</w:t>
      </w:r>
      <w:r>
        <w:rPr>
          <w14:ligatures w14:val="historicalDiscretional"/>
        </w:rPr>
        <w:t>, which</w:t>
      </w:r>
      <w:r w:rsidRPr="00E876A4">
        <w:rPr>
          <w14:ligatures w14:val="historicalDiscretional"/>
        </w:rPr>
        <w:t xml:space="preserve"> comes down from heaven</w:t>
      </w:r>
      <w:r>
        <w:rPr>
          <w14:ligatures w14:val="historicalDiscretional"/>
        </w:rPr>
        <w:t>,</w:t>
      </w:r>
      <w:r w:rsidRPr="00E876A4">
        <w:rPr>
          <w14:ligatures w14:val="historicalDiscretional"/>
        </w:rPr>
        <w:t xml:space="preserve"> </w:t>
      </w:r>
      <w:r w:rsidR="00AA1D45">
        <w:rPr>
          <w14:ligatures w14:val="historicalDiscretional"/>
        </w:rPr>
        <w:t>forms an inundating and</w:t>
      </w:r>
      <w:r w:rsidR="00E623E6">
        <w:rPr>
          <w14:ligatures w14:val="historicalDiscretional"/>
        </w:rPr>
        <w:t xml:space="preserve"> </w:t>
      </w:r>
      <w:r w:rsidRPr="00E876A4">
        <w:rPr>
          <w14:ligatures w14:val="historicalDiscretional"/>
        </w:rPr>
        <w:t>incinerat</w:t>
      </w:r>
      <w:r>
        <w:rPr>
          <w14:ligatures w14:val="historicalDiscretional"/>
        </w:rPr>
        <w:t>ing</w:t>
      </w:r>
      <w:r w:rsidRPr="00E876A4">
        <w:rPr>
          <w14:ligatures w14:val="historicalDiscretional"/>
        </w:rPr>
        <w:t xml:space="preserve"> </w:t>
      </w:r>
      <w:r w:rsidR="00AA1D45">
        <w:rPr>
          <w14:ligatures w14:val="historicalDiscretional"/>
        </w:rPr>
        <w:t xml:space="preserve">pool around </w:t>
      </w:r>
      <w:r w:rsidRPr="00E876A4">
        <w:rPr>
          <w14:ligatures w14:val="historicalDiscretional"/>
        </w:rPr>
        <w:t>not only them but the devil (20:10).</w:t>
      </w:r>
      <w:r w:rsidR="00E623E6">
        <w:rPr>
          <w14:ligatures w14:val="historicalDiscretional"/>
        </w:rPr>
        <w:t xml:space="preserve"> As an angel he might be imagined to be able to flee the descending mass of fire, but he is captured and cast into it.</w:t>
      </w:r>
    </w:p>
  </w:footnote>
  <w:footnote w:id="41">
    <w:p w14:paraId="4E8A4554" w14:textId="410AAA06" w:rsidR="0044732D" w:rsidRDefault="0044732D">
      <w:pPr>
        <w:pStyle w:val="FootnoteText"/>
      </w:pPr>
      <w:r>
        <w:rPr>
          <w:rStyle w:val="FootnoteReference"/>
        </w:rPr>
        <w:footnoteRef/>
      </w:r>
      <w:r>
        <w:t xml:space="preserve"> This </w:t>
      </w:r>
      <w:r w:rsidR="00AC0324">
        <w:t>aligns</w:t>
      </w:r>
      <w:r>
        <w:t xml:space="preserve"> with the teaching of Jesus (Mt. 19:28), Paul (Rom. </w:t>
      </w:r>
      <w:r w:rsidRPr="0044732D">
        <w:t>8:19-23</w:t>
      </w:r>
      <w:r>
        <w:t>), and the author of 2 Peter (2 Pet.</w:t>
      </w:r>
      <w:r w:rsidRPr="0044732D">
        <w:t xml:space="preserve"> </w:t>
      </w:r>
      <w:r w:rsidRPr="0044732D">
        <w:t>3:5-14</w:t>
      </w:r>
      <w:r>
        <w:t xml:space="preserve">). </w:t>
      </w:r>
    </w:p>
  </w:footnote>
  <w:footnote w:id="42">
    <w:p w14:paraId="47686EAC" w14:textId="116E18F7" w:rsidR="003B5954" w:rsidRPr="003B5954" w:rsidRDefault="003B5954">
      <w:pPr>
        <w:pStyle w:val="FootnoteText"/>
      </w:pPr>
      <w:r>
        <w:rPr>
          <w:rStyle w:val="FootnoteReference"/>
        </w:rPr>
        <w:footnoteRef/>
      </w:r>
      <w:r>
        <w:t xml:space="preserve"> I use the words “man” and “woman” here because the usual translation of </w:t>
      </w:r>
      <w:r>
        <w:rPr>
          <w:lang w:val="el-GR"/>
        </w:rPr>
        <w:t>γυνη</w:t>
      </w:r>
      <w:r w:rsidRPr="003B5954">
        <w:t>́</w:t>
      </w:r>
      <w:r>
        <w:t xml:space="preserve"> as “wife” could lead to the false idea that John thinks he is seeing something that happens after the thousand years, when the New Jerusalem has already been married to Christ for a thousand years and is thus his </w:t>
      </w:r>
      <w:r w:rsidR="00CD18A4">
        <w:t xml:space="preserve">long-established </w:t>
      </w:r>
      <w:r>
        <w:t xml:space="preserve">“wife.” No such inference is invited by John’s words. </w:t>
      </w:r>
    </w:p>
  </w:footnote>
  <w:footnote w:id="43">
    <w:p w14:paraId="6F0B6070" w14:textId="77777777" w:rsidR="00AC0324" w:rsidRDefault="00AC0324" w:rsidP="00AC0324">
      <w:pPr>
        <w:pStyle w:val="FootnoteText"/>
      </w:pPr>
      <w:r>
        <w:rPr>
          <w:rStyle w:val="FootnoteReference"/>
        </w:rPr>
        <w:footnoteRef/>
      </w:r>
      <w:r>
        <w:t xml:space="preserve"> Jesus pictures himself as the Messianic groom and his coming in glory as a wedding (Mt. 9:15; 22:1-14; 25:1-13; Mk 2:19-20; Lk. 5:34-35; 12:35-36; Jn 3:29); Paul also uses this figure (2 Cor. 11:2; Eph. 5:25b-32).</w:t>
      </w:r>
    </w:p>
  </w:footnote>
  <w:footnote w:id="44">
    <w:p w14:paraId="566230DA" w14:textId="32617492" w:rsidR="00314C54" w:rsidRDefault="00314C54" w:rsidP="00314C54">
      <w:pPr>
        <w:pStyle w:val="FootnoteText"/>
      </w:pPr>
      <w:r>
        <w:rPr>
          <w:rStyle w:val="FootnoteReference"/>
        </w:rPr>
        <w:footnoteRef/>
      </w:r>
      <w:r>
        <w:t xml:space="preserve"> </w:t>
      </w:r>
      <w:r w:rsidRPr="0093447A">
        <w:rPr>
          <w:rFonts w:asciiTheme="majorBidi" w:hAnsiTheme="majorBidi" w:cstheme="majorBidi"/>
          <w:i/>
        </w:rPr>
        <w:t>God’s Rule and Kingdom</w:t>
      </w:r>
      <w:r>
        <w:rPr>
          <w:rFonts w:asciiTheme="majorBidi" w:hAnsiTheme="majorBidi" w:cstheme="majorBidi"/>
          <w:i/>
        </w:rPr>
        <w:t xml:space="preserve"> </w:t>
      </w:r>
      <w:r w:rsidRPr="00314C54">
        <w:rPr>
          <w:rFonts w:asciiTheme="majorBidi" w:hAnsiTheme="majorBidi" w:cstheme="majorBidi"/>
          <w:iCs/>
        </w:rPr>
        <w:t>(trans. J. Murray; London: Nelson, 1963),</w:t>
      </w:r>
      <w:r w:rsidRPr="00902479">
        <w:rPr>
          <w:rFonts w:asciiTheme="majorBidi" w:hAnsiTheme="majorBidi" w:cstheme="majorBidi"/>
        </w:rPr>
        <w:t xml:space="preserve"> p. 346.</w:t>
      </w:r>
    </w:p>
  </w:footnote>
  <w:footnote w:id="45">
    <w:p w14:paraId="31A40E74" w14:textId="0237924D" w:rsidR="000122F4" w:rsidRDefault="000122F4">
      <w:pPr>
        <w:pStyle w:val="FootnoteText"/>
      </w:pPr>
      <w:r>
        <w:rPr>
          <w:rStyle w:val="FootnoteReference"/>
        </w:rPr>
        <w:footnoteRef/>
      </w:r>
      <w:r>
        <w:t xml:space="preserve"> </w:t>
      </w:r>
      <w:r w:rsidRPr="000122F4">
        <w:t>“Hades” (Gr. ᾅδης, Rev. 1:18; 6:8; 20:13, 15; cf. Mt. 11:23; Lk. 10:15; 16:23; Acts 2:27, 31) and “the abyss” (Gr. ἄβυσσος: Rev. 9:1, 2, 11; 11:7; 17:8; 20:1, 3; cf. Lk. 8:31; Rom. 10:7) can both equally refer to the underworld where dead people are conceived of as being trapped (Rom. 10:7; Rev. 11:7; 17:8). On the other hand, angelic/demonic spirits including the devil are always spoken of as trapped in the abyss, and not Hades. The distinction seems to be terminological rather than cosmological. The spirits of the dead and the rebellious angelic spirits are sent to the same place.</w:t>
      </w:r>
    </w:p>
  </w:footnote>
  <w:footnote w:id="46">
    <w:p w14:paraId="176D4F52" w14:textId="2B034D85" w:rsidR="001D7DA3" w:rsidRDefault="001D7DA3">
      <w:pPr>
        <w:pStyle w:val="FootnoteText"/>
      </w:pPr>
      <w:r>
        <w:rPr>
          <w:rStyle w:val="FootnoteReference"/>
        </w:rPr>
        <w:footnoteRef/>
      </w:r>
      <w:r>
        <w:t xml:space="preserve"> The Old Testament picture of the last encounter between God and the irreconcilable enemies of the community of the faithful is, in </w:t>
      </w:r>
      <w:r w:rsidR="00213424">
        <w:t>all familiar</w:t>
      </w:r>
      <w:r>
        <w:t xml:space="preserve"> popular conception</w:t>
      </w:r>
      <w:r w:rsidR="00213424">
        <w:t>s</w:t>
      </w:r>
      <w:r>
        <w:t xml:space="preserve"> of the final fate of “the wicked,” jettisoned in favor of a courtroom scene set in an abstracted zone somewhere not on earth.</w:t>
      </w:r>
    </w:p>
  </w:footnote>
  <w:footnote w:id="47">
    <w:p w14:paraId="47BE4B27" w14:textId="49E21031" w:rsidR="009C20C1" w:rsidRDefault="009C20C1">
      <w:pPr>
        <w:pStyle w:val="FootnoteText"/>
      </w:pPr>
      <w:r>
        <w:rPr>
          <w:rStyle w:val="FootnoteReference"/>
        </w:rPr>
        <w:footnoteRef/>
      </w:r>
      <w:r>
        <w:t xml:space="preserve"> </w:t>
      </w:r>
      <w:r w:rsidR="003030AF">
        <w:t>Seattle: Amazon,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F8"/>
    <w:multiLevelType w:val="hybridMultilevel"/>
    <w:tmpl w:val="257676F0"/>
    <w:lvl w:ilvl="0" w:tplc="B2CCE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D3638"/>
    <w:multiLevelType w:val="hybridMultilevel"/>
    <w:tmpl w:val="DD76ACD0"/>
    <w:lvl w:ilvl="0" w:tplc="5BE01AA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80A6F"/>
    <w:multiLevelType w:val="hybridMultilevel"/>
    <w:tmpl w:val="F9DC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27E6F"/>
    <w:multiLevelType w:val="hybridMultilevel"/>
    <w:tmpl w:val="280EF496"/>
    <w:lvl w:ilvl="0" w:tplc="BBD46666">
      <w:start w:val="1"/>
      <w:numFmt w:val="bullet"/>
      <w:pStyle w:val="Main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67899"/>
    <w:multiLevelType w:val="hybridMultilevel"/>
    <w:tmpl w:val="9A70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413555">
    <w:abstractNumId w:val="1"/>
  </w:num>
  <w:num w:numId="2" w16cid:durableId="40860361">
    <w:abstractNumId w:val="3"/>
  </w:num>
  <w:num w:numId="3" w16cid:durableId="1156066595">
    <w:abstractNumId w:val="0"/>
  </w:num>
  <w:num w:numId="4" w16cid:durableId="2011564122">
    <w:abstractNumId w:val="2"/>
  </w:num>
  <w:num w:numId="5" w16cid:durableId="977564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A7"/>
    <w:rsid w:val="00004319"/>
    <w:rsid w:val="00004DC4"/>
    <w:rsid w:val="000075E9"/>
    <w:rsid w:val="000122F4"/>
    <w:rsid w:val="00012B3D"/>
    <w:rsid w:val="00012B63"/>
    <w:rsid w:val="0002246C"/>
    <w:rsid w:val="00022A0D"/>
    <w:rsid w:val="00024E54"/>
    <w:rsid w:val="00032C97"/>
    <w:rsid w:val="000343CD"/>
    <w:rsid w:val="00034514"/>
    <w:rsid w:val="00036C9E"/>
    <w:rsid w:val="000402D5"/>
    <w:rsid w:val="00042589"/>
    <w:rsid w:val="00045545"/>
    <w:rsid w:val="00045E85"/>
    <w:rsid w:val="000522C1"/>
    <w:rsid w:val="0005320E"/>
    <w:rsid w:val="00062CA7"/>
    <w:rsid w:val="0006491A"/>
    <w:rsid w:val="00067CCD"/>
    <w:rsid w:val="00071DF6"/>
    <w:rsid w:val="00073C41"/>
    <w:rsid w:val="000760B4"/>
    <w:rsid w:val="000777DD"/>
    <w:rsid w:val="000807F0"/>
    <w:rsid w:val="00081821"/>
    <w:rsid w:val="00083460"/>
    <w:rsid w:val="00083B87"/>
    <w:rsid w:val="0008442C"/>
    <w:rsid w:val="000847B5"/>
    <w:rsid w:val="00086E1B"/>
    <w:rsid w:val="000934D7"/>
    <w:rsid w:val="000941E5"/>
    <w:rsid w:val="000A24C8"/>
    <w:rsid w:val="000A3387"/>
    <w:rsid w:val="000A3816"/>
    <w:rsid w:val="000A3D42"/>
    <w:rsid w:val="000A6AC6"/>
    <w:rsid w:val="000B018B"/>
    <w:rsid w:val="000B42C0"/>
    <w:rsid w:val="000B4462"/>
    <w:rsid w:val="000B52E0"/>
    <w:rsid w:val="000B6225"/>
    <w:rsid w:val="000B66AD"/>
    <w:rsid w:val="000C29BA"/>
    <w:rsid w:val="000C371C"/>
    <w:rsid w:val="000C47EB"/>
    <w:rsid w:val="000C6304"/>
    <w:rsid w:val="000D0B86"/>
    <w:rsid w:val="000D0E2B"/>
    <w:rsid w:val="000D2746"/>
    <w:rsid w:val="000D4967"/>
    <w:rsid w:val="000D73D4"/>
    <w:rsid w:val="000D743C"/>
    <w:rsid w:val="000E45CA"/>
    <w:rsid w:val="000E4E82"/>
    <w:rsid w:val="000F36DB"/>
    <w:rsid w:val="000F49DC"/>
    <w:rsid w:val="000F6300"/>
    <w:rsid w:val="000F7E6B"/>
    <w:rsid w:val="001005C8"/>
    <w:rsid w:val="00102FC9"/>
    <w:rsid w:val="0010357C"/>
    <w:rsid w:val="00103EB1"/>
    <w:rsid w:val="001054A3"/>
    <w:rsid w:val="00107CBB"/>
    <w:rsid w:val="0011082B"/>
    <w:rsid w:val="00110B6B"/>
    <w:rsid w:val="00113260"/>
    <w:rsid w:val="00116D50"/>
    <w:rsid w:val="00117713"/>
    <w:rsid w:val="0011771C"/>
    <w:rsid w:val="00120C31"/>
    <w:rsid w:val="00123C3F"/>
    <w:rsid w:val="00124CDB"/>
    <w:rsid w:val="00124F25"/>
    <w:rsid w:val="0012638F"/>
    <w:rsid w:val="00130BD0"/>
    <w:rsid w:val="001311E3"/>
    <w:rsid w:val="001502B8"/>
    <w:rsid w:val="0016649A"/>
    <w:rsid w:val="001757EC"/>
    <w:rsid w:val="00177D7F"/>
    <w:rsid w:val="00180FD3"/>
    <w:rsid w:val="001860DA"/>
    <w:rsid w:val="00193798"/>
    <w:rsid w:val="0019761E"/>
    <w:rsid w:val="001A538E"/>
    <w:rsid w:val="001B1AF8"/>
    <w:rsid w:val="001B2B7C"/>
    <w:rsid w:val="001B4B36"/>
    <w:rsid w:val="001B668C"/>
    <w:rsid w:val="001C111D"/>
    <w:rsid w:val="001C2184"/>
    <w:rsid w:val="001C253B"/>
    <w:rsid w:val="001C65BC"/>
    <w:rsid w:val="001D2265"/>
    <w:rsid w:val="001D26EE"/>
    <w:rsid w:val="001D3675"/>
    <w:rsid w:val="001D3EEE"/>
    <w:rsid w:val="001D5297"/>
    <w:rsid w:val="001D63B4"/>
    <w:rsid w:val="001D759B"/>
    <w:rsid w:val="001D7DA3"/>
    <w:rsid w:val="001E1A3B"/>
    <w:rsid w:val="001E1F23"/>
    <w:rsid w:val="001E7A40"/>
    <w:rsid w:val="001F2C59"/>
    <w:rsid w:val="00201770"/>
    <w:rsid w:val="00204A2F"/>
    <w:rsid w:val="00210196"/>
    <w:rsid w:val="00210936"/>
    <w:rsid w:val="00211468"/>
    <w:rsid w:val="00213424"/>
    <w:rsid w:val="00216320"/>
    <w:rsid w:val="00220D2F"/>
    <w:rsid w:val="002222B0"/>
    <w:rsid w:val="00222C73"/>
    <w:rsid w:val="002231BB"/>
    <w:rsid w:val="00224741"/>
    <w:rsid w:val="00227DEC"/>
    <w:rsid w:val="00232246"/>
    <w:rsid w:val="00232390"/>
    <w:rsid w:val="00234DB9"/>
    <w:rsid w:val="00240ADB"/>
    <w:rsid w:val="002426A5"/>
    <w:rsid w:val="00243D6B"/>
    <w:rsid w:val="002454EA"/>
    <w:rsid w:val="00245AB4"/>
    <w:rsid w:val="002464EA"/>
    <w:rsid w:val="002476F6"/>
    <w:rsid w:val="0025237E"/>
    <w:rsid w:val="002524C4"/>
    <w:rsid w:val="00253634"/>
    <w:rsid w:val="002609E1"/>
    <w:rsid w:val="0026103C"/>
    <w:rsid w:val="002648FF"/>
    <w:rsid w:val="00267215"/>
    <w:rsid w:val="002679C5"/>
    <w:rsid w:val="0027021B"/>
    <w:rsid w:val="00271BBA"/>
    <w:rsid w:val="00272F00"/>
    <w:rsid w:val="00273150"/>
    <w:rsid w:val="002733AC"/>
    <w:rsid w:val="00273B91"/>
    <w:rsid w:val="002760BF"/>
    <w:rsid w:val="00277ADB"/>
    <w:rsid w:val="00281098"/>
    <w:rsid w:val="00282B10"/>
    <w:rsid w:val="00285969"/>
    <w:rsid w:val="0028734C"/>
    <w:rsid w:val="002877DC"/>
    <w:rsid w:val="002946ED"/>
    <w:rsid w:val="002965ED"/>
    <w:rsid w:val="00297F6F"/>
    <w:rsid w:val="002A179B"/>
    <w:rsid w:val="002A331F"/>
    <w:rsid w:val="002A4309"/>
    <w:rsid w:val="002A7C09"/>
    <w:rsid w:val="002B5039"/>
    <w:rsid w:val="002C1FAE"/>
    <w:rsid w:val="002C2CE7"/>
    <w:rsid w:val="002D01FD"/>
    <w:rsid w:val="002D0764"/>
    <w:rsid w:val="002D081A"/>
    <w:rsid w:val="002D13B6"/>
    <w:rsid w:val="002D3193"/>
    <w:rsid w:val="002D5475"/>
    <w:rsid w:val="002E07B1"/>
    <w:rsid w:val="002E452B"/>
    <w:rsid w:val="002E4EFD"/>
    <w:rsid w:val="002E66C1"/>
    <w:rsid w:val="002F0CCE"/>
    <w:rsid w:val="002F33D3"/>
    <w:rsid w:val="002F445E"/>
    <w:rsid w:val="002F530D"/>
    <w:rsid w:val="003030AF"/>
    <w:rsid w:val="00307F76"/>
    <w:rsid w:val="00310983"/>
    <w:rsid w:val="00310F7A"/>
    <w:rsid w:val="00312EEB"/>
    <w:rsid w:val="00314C54"/>
    <w:rsid w:val="003154DB"/>
    <w:rsid w:val="00316B06"/>
    <w:rsid w:val="00321363"/>
    <w:rsid w:val="00327794"/>
    <w:rsid w:val="00333AF3"/>
    <w:rsid w:val="003351F9"/>
    <w:rsid w:val="003360DA"/>
    <w:rsid w:val="00340FC3"/>
    <w:rsid w:val="0034328F"/>
    <w:rsid w:val="003433BC"/>
    <w:rsid w:val="003462ED"/>
    <w:rsid w:val="00347A15"/>
    <w:rsid w:val="00350F98"/>
    <w:rsid w:val="00354EC2"/>
    <w:rsid w:val="0035748A"/>
    <w:rsid w:val="003574E1"/>
    <w:rsid w:val="003620DE"/>
    <w:rsid w:val="003641FF"/>
    <w:rsid w:val="00374D5F"/>
    <w:rsid w:val="00374FBE"/>
    <w:rsid w:val="00375E66"/>
    <w:rsid w:val="003778F1"/>
    <w:rsid w:val="003801F2"/>
    <w:rsid w:val="003809EF"/>
    <w:rsid w:val="00381181"/>
    <w:rsid w:val="00381A5B"/>
    <w:rsid w:val="00385054"/>
    <w:rsid w:val="00386392"/>
    <w:rsid w:val="003867AA"/>
    <w:rsid w:val="00390A56"/>
    <w:rsid w:val="00390FCE"/>
    <w:rsid w:val="00396379"/>
    <w:rsid w:val="003A01D9"/>
    <w:rsid w:val="003A02CD"/>
    <w:rsid w:val="003A1ACE"/>
    <w:rsid w:val="003A6643"/>
    <w:rsid w:val="003A7AEA"/>
    <w:rsid w:val="003B1CFE"/>
    <w:rsid w:val="003B1FB6"/>
    <w:rsid w:val="003B32E3"/>
    <w:rsid w:val="003B5954"/>
    <w:rsid w:val="003C051A"/>
    <w:rsid w:val="003C13DA"/>
    <w:rsid w:val="003C27DA"/>
    <w:rsid w:val="003C286B"/>
    <w:rsid w:val="003D0D21"/>
    <w:rsid w:val="003D2BA6"/>
    <w:rsid w:val="003D4BDE"/>
    <w:rsid w:val="003D533A"/>
    <w:rsid w:val="003D6610"/>
    <w:rsid w:val="003E1D41"/>
    <w:rsid w:val="003E2B6E"/>
    <w:rsid w:val="003E49E0"/>
    <w:rsid w:val="003E771F"/>
    <w:rsid w:val="003F3721"/>
    <w:rsid w:val="003F3C44"/>
    <w:rsid w:val="003F5F1C"/>
    <w:rsid w:val="003F602A"/>
    <w:rsid w:val="00410FB1"/>
    <w:rsid w:val="00415BE6"/>
    <w:rsid w:val="0041605A"/>
    <w:rsid w:val="00420EC9"/>
    <w:rsid w:val="00423170"/>
    <w:rsid w:val="0043163F"/>
    <w:rsid w:val="00432069"/>
    <w:rsid w:val="004366F5"/>
    <w:rsid w:val="004434CA"/>
    <w:rsid w:val="004443CA"/>
    <w:rsid w:val="00445F04"/>
    <w:rsid w:val="00446761"/>
    <w:rsid w:val="0044732D"/>
    <w:rsid w:val="00452098"/>
    <w:rsid w:val="00455D70"/>
    <w:rsid w:val="00457EC0"/>
    <w:rsid w:val="0046240F"/>
    <w:rsid w:val="004627CF"/>
    <w:rsid w:val="00464DCF"/>
    <w:rsid w:val="004708F6"/>
    <w:rsid w:val="00474783"/>
    <w:rsid w:val="00475132"/>
    <w:rsid w:val="00476348"/>
    <w:rsid w:val="0048087B"/>
    <w:rsid w:val="004824C5"/>
    <w:rsid w:val="0048544D"/>
    <w:rsid w:val="00485DD3"/>
    <w:rsid w:val="004876AB"/>
    <w:rsid w:val="0049598D"/>
    <w:rsid w:val="004960B7"/>
    <w:rsid w:val="004A0ACB"/>
    <w:rsid w:val="004A0B35"/>
    <w:rsid w:val="004A17D6"/>
    <w:rsid w:val="004B299B"/>
    <w:rsid w:val="004B3422"/>
    <w:rsid w:val="004B476E"/>
    <w:rsid w:val="004B5CBF"/>
    <w:rsid w:val="004B5FB8"/>
    <w:rsid w:val="004B6D18"/>
    <w:rsid w:val="004B7AB7"/>
    <w:rsid w:val="004C09ED"/>
    <w:rsid w:val="004C22E2"/>
    <w:rsid w:val="004C358A"/>
    <w:rsid w:val="004C5069"/>
    <w:rsid w:val="004D02C7"/>
    <w:rsid w:val="004D1579"/>
    <w:rsid w:val="004D3077"/>
    <w:rsid w:val="004D3B80"/>
    <w:rsid w:val="004D5711"/>
    <w:rsid w:val="004E0D96"/>
    <w:rsid w:val="004E1710"/>
    <w:rsid w:val="004E1E96"/>
    <w:rsid w:val="004E3E4B"/>
    <w:rsid w:val="004F30E1"/>
    <w:rsid w:val="004F37E6"/>
    <w:rsid w:val="004F52E0"/>
    <w:rsid w:val="00500819"/>
    <w:rsid w:val="00505583"/>
    <w:rsid w:val="00505DDF"/>
    <w:rsid w:val="00515728"/>
    <w:rsid w:val="00516063"/>
    <w:rsid w:val="00516BC5"/>
    <w:rsid w:val="00517EB3"/>
    <w:rsid w:val="00522883"/>
    <w:rsid w:val="00531AE3"/>
    <w:rsid w:val="00533B5A"/>
    <w:rsid w:val="005347B0"/>
    <w:rsid w:val="00536E29"/>
    <w:rsid w:val="005424EF"/>
    <w:rsid w:val="005444B6"/>
    <w:rsid w:val="005470AB"/>
    <w:rsid w:val="00552701"/>
    <w:rsid w:val="00553DCD"/>
    <w:rsid w:val="00555C8E"/>
    <w:rsid w:val="005564D5"/>
    <w:rsid w:val="00556785"/>
    <w:rsid w:val="00557169"/>
    <w:rsid w:val="005632DD"/>
    <w:rsid w:val="0056519E"/>
    <w:rsid w:val="005711C0"/>
    <w:rsid w:val="0057210C"/>
    <w:rsid w:val="00573770"/>
    <w:rsid w:val="00573AA7"/>
    <w:rsid w:val="005742D5"/>
    <w:rsid w:val="005820BE"/>
    <w:rsid w:val="00584E34"/>
    <w:rsid w:val="0059057B"/>
    <w:rsid w:val="00596A36"/>
    <w:rsid w:val="00597FF4"/>
    <w:rsid w:val="005A17DE"/>
    <w:rsid w:val="005A25D7"/>
    <w:rsid w:val="005A5943"/>
    <w:rsid w:val="005A67ED"/>
    <w:rsid w:val="005C0669"/>
    <w:rsid w:val="005C2E67"/>
    <w:rsid w:val="005C554C"/>
    <w:rsid w:val="005C635B"/>
    <w:rsid w:val="005D0770"/>
    <w:rsid w:val="005E1D2B"/>
    <w:rsid w:val="005E4085"/>
    <w:rsid w:val="005E51C8"/>
    <w:rsid w:val="005F01C6"/>
    <w:rsid w:val="005F581D"/>
    <w:rsid w:val="005F659F"/>
    <w:rsid w:val="006015AC"/>
    <w:rsid w:val="00602F92"/>
    <w:rsid w:val="00602FFE"/>
    <w:rsid w:val="00603568"/>
    <w:rsid w:val="006057F4"/>
    <w:rsid w:val="00607D09"/>
    <w:rsid w:val="00617CB8"/>
    <w:rsid w:val="006216EF"/>
    <w:rsid w:val="006275CF"/>
    <w:rsid w:val="0062780A"/>
    <w:rsid w:val="00627B29"/>
    <w:rsid w:val="00633538"/>
    <w:rsid w:val="0063488C"/>
    <w:rsid w:val="00635B5F"/>
    <w:rsid w:val="00636901"/>
    <w:rsid w:val="006604BA"/>
    <w:rsid w:val="00660FCB"/>
    <w:rsid w:val="0066744C"/>
    <w:rsid w:val="00667D26"/>
    <w:rsid w:val="00673347"/>
    <w:rsid w:val="00674048"/>
    <w:rsid w:val="00677DF8"/>
    <w:rsid w:val="00681B1E"/>
    <w:rsid w:val="00684932"/>
    <w:rsid w:val="00685F35"/>
    <w:rsid w:val="006865F4"/>
    <w:rsid w:val="00690B45"/>
    <w:rsid w:val="0069347B"/>
    <w:rsid w:val="006950A5"/>
    <w:rsid w:val="0069511F"/>
    <w:rsid w:val="00696C02"/>
    <w:rsid w:val="006B3E8C"/>
    <w:rsid w:val="006C0454"/>
    <w:rsid w:val="006C1B2D"/>
    <w:rsid w:val="006C2587"/>
    <w:rsid w:val="006C3447"/>
    <w:rsid w:val="006C4381"/>
    <w:rsid w:val="006D07DE"/>
    <w:rsid w:val="006D3B78"/>
    <w:rsid w:val="006D6229"/>
    <w:rsid w:val="006E00E5"/>
    <w:rsid w:val="006E2863"/>
    <w:rsid w:val="006E438F"/>
    <w:rsid w:val="006F203B"/>
    <w:rsid w:val="006F29F0"/>
    <w:rsid w:val="006F306D"/>
    <w:rsid w:val="006F5803"/>
    <w:rsid w:val="006F71D6"/>
    <w:rsid w:val="00700002"/>
    <w:rsid w:val="00700E66"/>
    <w:rsid w:val="007025D5"/>
    <w:rsid w:val="007038D8"/>
    <w:rsid w:val="00706D3A"/>
    <w:rsid w:val="0071006F"/>
    <w:rsid w:val="00710EB2"/>
    <w:rsid w:val="0071290F"/>
    <w:rsid w:val="0071573F"/>
    <w:rsid w:val="00720E96"/>
    <w:rsid w:val="00721416"/>
    <w:rsid w:val="00721D94"/>
    <w:rsid w:val="0072233D"/>
    <w:rsid w:val="00722D6D"/>
    <w:rsid w:val="00725078"/>
    <w:rsid w:val="00725BA4"/>
    <w:rsid w:val="0073086B"/>
    <w:rsid w:val="00736901"/>
    <w:rsid w:val="00741347"/>
    <w:rsid w:val="007430C3"/>
    <w:rsid w:val="00743D8D"/>
    <w:rsid w:val="00746F9A"/>
    <w:rsid w:val="0074777B"/>
    <w:rsid w:val="00750B35"/>
    <w:rsid w:val="00751A34"/>
    <w:rsid w:val="00751DEA"/>
    <w:rsid w:val="00752E7F"/>
    <w:rsid w:val="00757A26"/>
    <w:rsid w:val="00760139"/>
    <w:rsid w:val="00763AA0"/>
    <w:rsid w:val="00773831"/>
    <w:rsid w:val="00781C20"/>
    <w:rsid w:val="0079063A"/>
    <w:rsid w:val="00792D57"/>
    <w:rsid w:val="007A5267"/>
    <w:rsid w:val="007A574E"/>
    <w:rsid w:val="007A643F"/>
    <w:rsid w:val="007A6B81"/>
    <w:rsid w:val="007A75D2"/>
    <w:rsid w:val="007A7D7C"/>
    <w:rsid w:val="007B2485"/>
    <w:rsid w:val="007B4310"/>
    <w:rsid w:val="007B5827"/>
    <w:rsid w:val="007B74A7"/>
    <w:rsid w:val="007C0C6C"/>
    <w:rsid w:val="007C1645"/>
    <w:rsid w:val="007C1A47"/>
    <w:rsid w:val="007C4867"/>
    <w:rsid w:val="007D065F"/>
    <w:rsid w:val="007D144A"/>
    <w:rsid w:val="007D31F3"/>
    <w:rsid w:val="007D3B6E"/>
    <w:rsid w:val="007D62C9"/>
    <w:rsid w:val="007D7547"/>
    <w:rsid w:val="007E13A0"/>
    <w:rsid w:val="007E4907"/>
    <w:rsid w:val="007E5919"/>
    <w:rsid w:val="007E59DF"/>
    <w:rsid w:val="007E79F9"/>
    <w:rsid w:val="007F3A36"/>
    <w:rsid w:val="007F62CA"/>
    <w:rsid w:val="00800B99"/>
    <w:rsid w:val="00802835"/>
    <w:rsid w:val="00802AE1"/>
    <w:rsid w:val="0080728D"/>
    <w:rsid w:val="00814696"/>
    <w:rsid w:val="008150BF"/>
    <w:rsid w:val="00815E33"/>
    <w:rsid w:val="00815FD8"/>
    <w:rsid w:val="00816875"/>
    <w:rsid w:val="00816931"/>
    <w:rsid w:val="0081777C"/>
    <w:rsid w:val="008177C9"/>
    <w:rsid w:val="00840CAC"/>
    <w:rsid w:val="00842A2F"/>
    <w:rsid w:val="00845FA5"/>
    <w:rsid w:val="00867FD1"/>
    <w:rsid w:val="0087356D"/>
    <w:rsid w:val="00873BC0"/>
    <w:rsid w:val="00874657"/>
    <w:rsid w:val="00875B61"/>
    <w:rsid w:val="00887A74"/>
    <w:rsid w:val="00892AF5"/>
    <w:rsid w:val="008931A9"/>
    <w:rsid w:val="00893A6A"/>
    <w:rsid w:val="00893E01"/>
    <w:rsid w:val="00896390"/>
    <w:rsid w:val="00896F4A"/>
    <w:rsid w:val="008978A4"/>
    <w:rsid w:val="00897D01"/>
    <w:rsid w:val="008A2E40"/>
    <w:rsid w:val="008A4AEB"/>
    <w:rsid w:val="008A52A5"/>
    <w:rsid w:val="008A75D3"/>
    <w:rsid w:val="008B06D0"/>
    <w:rsid w:val="008B609E"/>
    <w:rsid w:val="008B6928"/>
    <w:rsid w:val="008C03C8"/>
    <w:rsid w:val="008C0CC2"/>
    <w:rsid w:val="008C44AD"/>
    <w:rsid w:val="008C7442"/>
    <w:rsid w:val="008D1414"/>
    <w:rsid w:val="008D2950"/>
    <w:rsid w:val="008E0377"/>
    <w:rsid w:val="008E586C"/>
    <w:rsid w:val="008E5AC7"/>
    <w:rsid w:val="008F3E93"/>
    <w:rsid w:val="008F6322"/>
    <w:rsid w:val="00901A49"/>
    <w:rsid w:val="00901E38"/>
    <w:rsid w:val="00901F30"/>
    <w:rsid w:val="00902E60"/>
    <w:rsid w:val="00905AFF"/>
    <w:rsid w:val="00905F5B"/>
    <w:rsid w:val="0090613C"/>
    <w:rsid w:val="00906B64"/>
    <w:rsid w:val="00907632"/>
    <w:rsid w:val="009102E2"/>
    <w:rsid w:val="00910DE8"/>
    <w:rsid w:val="00914353"/>
    <w:rsid w:val="009144CD"/>
    <w:rsid w:val="009171A7"/>
    <w:rsid w:val="0091768D"/>
    <w:rsid w:val="0092085F"/>
    <w:rsid w:val="009323A4"/>
    <w:rsid w:val="0093288E"/>
    <w:rsid w:val="0093493E"/>
    <w:rsid w:val="009372D4"/>
    <w:rsid w:val="009374CD"/>
    <w:rsid w:val="00940055"/>
    <w:rsid w:val="00940A32"/>
    <w:rsid w:val="009423D3"/>
    <w:rsid w:val="0094587A"/>
    <w:rsid w:val="00950763"/>
    <w:rsid w:val="00960080"/>
    <w:rsid w:val="00964681"/>
    <w:rsid w:val="0096737B"/>
    <w:rsid w:val="00967E8B"/>
    <w:rsid w:val="00971B3D"/>
    <w:rsid w:val="00971E70"/>
    <w:rsid w:val="00972418"/>
    <w:rsid w:val="00975424"/>
    <w:rsid w:val="00980FE5"/>
    <w:rsid w:val="009854C8"/>
    <w:rsid w:val="009909B7"/>
    <w:rsid w:val="00991963"/>
    <w:rsid w:val="00992425"/>
    <w:rsid w:val="00992860"/>
    <w:rsid w:val="00994365"/>
    <w:rsid w:val="00997B99"/>
    <w:rsid w:val="00997D49"/>
    <w:rsid w:val="009A0297"/>
    <w:rsid w:val="009A131A"/>
    <w:rsid w:val="009A1744"/>
    <w:rsid w:val="009A25E1"/>
    <w:rsid w:val="009B1A92"/>
    <w:rsid w:val="009B1D38"/>
    <w:rsid w:val="009B61C1"/>
    <w:rsid w:val="009B6928"/>
    <w:rsid w:val="009B6C83"/>
    <w:rsid w:val="009B73B9"/>
    <w:rsid w:val="009C1F81"/>
    <w:rsid w:val="009C20C1"/>
    <w:rsid w:val="009C4C30"/>
    <w:rsid w:val="009C77EA"/>
    <w:rsid w:val="009D0DFC"/>
    <w:rsid w:val="009D41CE"/>
    <w:rsid w:val="009D66D3"/>
    <w:rsid w:val="009E00CA"/>
    <w:rsid w:val="009E2F65"/>
    <w:rsid w:val="009E5F96"/>
    <w:rsid w:val="009E6315"/>
    <w:rsid w:val="009E6441"/>
    <w:rsid w:val="009E669F"/>
    <w:rsid w:val="009E6EB3"/>
    <w:rsid w:val="009F4ADC"/>
    <w:rsid w:val="009F4D5A"/>
    <w:rsid w:val="009F7452"/>
    <w:rsid w:val="009F74F0"/>
    <w:rsid w:val="00A014B2"/>
    <w:rsid w:val="00A03914"/>
    <w:rsid w:val="00A04FA3"/>
    <w:rsid w:val="00A05209"/>
    <w:rsid w:val="00A06558"/>
    <w:rsid w:val="00A10BB4"/>
    <w:rsid w:val="00A11028"/>
    <w:rsid w:val="00A11537"/>
    <w:rsid w:val="00A132C7"/>
    <w:rsid w:val="00A1469C"/>
    <w:rsid w:val="00A14A89"/>
    <w:rsid w:val="00A14C77"/>
    <w:rsid w:val="00A2077F"/>
    <w:rsid w:val="00A21369"/>
    <w:rsid w:val="00A21478"/>
    <w:rsid w:val="00A2165A"/>
    <w:rsid w:val="00A226BF"/>
    <w:rsid w:val="00A24D7C"/>
    <w:rsid w:val="00A24E76"/>
    <w:rsid w:val="00A2530A"/>
    <w:rsid w:val="00A30094"/>
    <w:rsid w:val="00A3340F"/>
    <w:rsid w:val="00A3355A"/>
    <w:rsid w:val="00A33F83"/>
    <w:rsid w:val="00A359BF"/>
    <w:rsid w:val="00A42EFA"/>
    <w:rsid w:val="00A442FD"/>
    <w:rsid w:val="00A4585F"/>
    <w:rsid w:val="00A46B24"/>
    <w:rsid w:val="00A4769C"/>
    <w:rsid w:val="00A47AAE"/>
    <w:rsid w:val="00A50EDE"/>
    <w:rsid w:val="00A5358B"/>
    <w:rsid w:val="00A559BE"/>
    <w:rsid w:val="00A65B92"/>
    <w:rsid w:val="00A7001E"/>
    <w:rsid w:val="00A7057E"/>
    <w:rsid w:val="00A70EA7"/>
    <w:rsid w:val="00A7587E"/>
    <w:rsid w:val="00A77752"/>
    <w:rsid w:val="00A80C0B"/>
    <w:rsid w:val="00A80DFB"/>
    <w:rsid w:val="00A8167C"/>
    <w:rsid w:val="00A901E0"/>
    <w:rsid w:val="00A926CF"/>
    <w:rsid w:val="00A92C09"/>
    <w:rsid w:val="00AA1CD0"/>
    <w:rsid w:val="00AA1D45"/>
    <w:rsid w:val="00AA4669"/>
    <w:rsid w:val="00AA4E50"/>
    <w:rsid w:val="00AB0DF0"/>
    <w:rsid w:val="00AB28D6"/>
    <w:rsid w:val="00AC0324"/>
    <w:rsid w:val="00AC08A8"/>
    <w:rsid w:val="00AC1144"/>
    <w:rsid w:val="00AC57E0"/>
    <w:rsid w:val="00AC7230"/>
    <w:rsid w:val="00AD0D1C"/>
    <w:rsid w:val="00AD0DC2"/>
    <w:rsid w:val="00AD74F9"/>
    <w:rsid w:val="00AE154B"/>
    <w:rsid w:val="00AE1FD2"/>
    <w:rsid w:val="00AE511E"/>
    <w:rsid w:val="00AF034E"/>
    <w:rsid w:val="00AF118F"/>
    <w:rsid w:val="00AF28C4"/>
    <w:rsid w:val="00AF5C3B"/>
    <w:rsid w:val="00AF6B3D"/>
    <w:rsid w:val="00B00BAD"/>
    <w:rsid w:val="00B00CA3"/>
    <w:rsid w:val="00B01220"/>
    <w:rsid w:val="00B03215"/>
    <w:rsid w:val="00B072C9"/>
    <w:rsid w:val="00B13428"/>
    <w:rsid w:val="00B14AC0"/>
    <w:rsid w:val="00B210AD"/>
    <w:rsid w:val="00B22A23"/>
    <w:rsid w:val="00B23CC8"/>
    <w:rsid w:val="00B25EA3"/>
    <w:rsid w:val="00B26AC0"/>
    <w:rsid w:val="00B30E7B"/>
    <w:rsid w:val="00B36B79"/>
    <w:rsid w:val="00B37A74"/>
    <w:rsid w:val="00B421C3"/>
    <w:rsid w:val="00B45032"/>
    <w:rsid w:val="00B45927"/>
    <w:rsid w:val="00B46173"/>
    <w:rsid w:val="00B463A3"/>
    <w:rsid w:val="00B505AC"/>
    <w:rsid w:val="00B57D58"/>
    <w:rsid w:val="00B606D9"/>
    <w:rsid w:val="00B611B9"/>
    <w:rsid w:val="00B612D2"/>
    <w:rsid w:val="00B61CBE"/>
    <w:rsid w:val="00B73B4C"/>
    <w:rsid w:val="00B77C47"/>
    <w:rsid w:val="00B86AFC"/>
    <w:rsid w:val="00B871CB"/>
    <w:rsid w:val="00B87D10"/>
    <w:rsid w:val="00B91484"/>
    <w:rsid w:val="00B94870"/>
    <w:rsid w:val="00B97338"/>
    <w:rsid w:val="00B97562"/>
    <w:rsid w:val="00B97BF2"/>
    <w:rsid w:val="00BA7FF9"/>
    <w:rsid w:val="00BB03E7"/>
    <w:rsid w:val="00BB0775"/>
    <w:rsid w:val="00BB3F94"/>
    <w:rsid w:val="00BB4225"/>
    <w:rsid w:val="00BC2A8B"/>
    <w:rsid w:val="00BC61EE"/>
    <w:rsid w:val="00BD0903"/>
    <w:rsid w:val="00BD210B"/>
    <w:rsid w:val="00BE1B4F"/>
    <w:rsid w:val="00BE2612"/>
    <w:rsid w:val="00BE2ACD"/>
    <w:rsid w:val="00BE3CF7"/>
    <w:rsid w:val="00BE517C"/>
    <w:rsid w:val="00C0059A"/>
    <w:rsid w:val="00C014A4"/>
    <w:rsid w:val="00C015F7"/>
    <w:rsid w:val="00C03E9D"/>
    <w:rsid w:val="00C04343"/>
    <w:rsid w:val="00C053E0"/>
    <w:rsid w:val="00C05DE5"/>
    <w:rsid w:val="00C068F6"/>
    <w:rsid w:val="00C14837"/>
    <w:rsid w:val="00C161B3"/>
    <w:rsid w:val="00C23A63"/>
    <w:rsid w:val="00C24CFB"/>
    <w:rsid w:val="00C259EF"/>
    <w:rsid w:val="00C25C18"/>
    <w:rsid w:val="00C2624E"/>
    <w:rsid w:val="00C2757E"/>
    <w:rsid w:val="00C3116E"/>
    <w:rsid w:val="00C31736"/>
    <w:rsid w:val="00C31FFD"/>
    <w:rsid w:val="00C33362"/>
    <w:rsid w:val="00C41971"/>
    <w:rsid w:val="00C43D49"/>
    <w:rsid w:val="00C44260"/>
    <w:rsid w:val="00C45F89"/>
    <w:rsid w:val="00C46ECB"/>
    <w:rsid w:val="00C505E7"/>
    <w:rsid w:val="00C506AF"/>
    <w:rsid w:val="00C53992"/>
    <w:rsid w:val="00C55373"/>
    <w:rsid w:val="00C6328D"/>
    <w:rsid w:val="00C64FDA"/>
    <w:rsid w:val="00C653C8"/>
    <w:rsid w:val="00C75739"/>
    <w:rsid w:val="00C80541"/>
    <w:rsid w:val="00C80950"/>
    <w:rsid w:val="00C81306"/>
    <w:rsid w:val="00C82499"/>
    <w:rsid w:val="00C85D2C"/>
    <w:rsid w:val="00C85F00"/>
    <w:rsid w:val="00C90558"/>
    <w:rsid w:val="00C910FA"/>
    <w:rsid w:val="00C91FFA"/>
    <w:rsid w:val="00C9387F"/>
    <w:rsid w:val="00C97C2C"/>
    <w:rsid w:val="00CA0D27"/>
    <w:rsid w:val="00CA1643"/>
    <w:rsid w:val="00CB51DF"/>
    <w:rsid w:val="00CC0E56"/>
    <w:rsid w:val="00CC5C7D"/>
    <w:rsid w:val="00CD18A4"/>
    <w:rsid w:val="00CD36BB"/>
    <w:rsid w:val="00CD5507"/>
    <w:rsid w:val="00CD5D75"/>
    <w:rsid w:val="00CD5EF1"/>
    <w:rsid w:val="00CD60E1"/>
    <w:rsid w:val="00CD678B"/>
    <w:rsid w:val="00CE0137"/>
    <w:rsid w:val="00CE62BB"/>
    <w:rsid w:val="00CE7C02"/>
    <w:rsid w:val="00CF1EB2"/>
    <w:rsid w:val="00CF299C"/>
    <w:rsid w:val="00CF40E2"/>
    <w:rsid w:val="00CF7B78"/>
    <w:rsid w:val="00D052A0"/>
    <w:rsid w:val="00D07CCD"/>
    <w:rsid w:val="00D15306"/>
    <w:rsid w:val="00D174CF"/>
    <w:rsid w:val="00D1782A"/>
    <w:rsid w:val="00D26D8E"/>
    <w:rsid w:val="00D27D71"/>
    <w:rsid w:val="00D32903"/>
    <w:rsid w:val="00D3393F"/>
    <w:rsid w:val="00D35910"/>
    <w:rsid w:val="00D365A1"/>
    <w:rsid w:val="00D43BF8"/>
    <w:rsid w:val="00D4431E"/>
    <w:rsid w:val="00D51A14"/>
    <w:rsid w:val="00D52A06"/>
    <w:rsid w:val="00D53969"/>
    <w:rsid w:val="00D553FE"/>
    <w:rsid w:val="00D563DC"/>
    <w:rsid w:val="00D5740A"/>
    <w:rsid w:val="00D77873"/>
    <w:rsid w:val="00D77C70"/>
    <w:rsid w:val="00D86E89"/>
    <w:rsid w:val="00D873BE"/>
    <w:rsid w:val="00D92120"/>
    <w:rsid w:val="00D92562"/>
    <w:rsid w:val="00D9335A"/>
    <w:rsid w:val="00D94119"/>
    <w:rsid w:val="00D975B7"/>
    <w:rsid w:val="00DA0B9A"/>
    <w:rsid w:val="00DB4677"/>
    <w:rsid w:val="00DB4EDC"/>
    <w:rsid w:val="00DB658A"/>
    <w:rsid w:val="00DC1CA6"/>
    <w:rsid w:val="00DC33C7"/>
    <w:rsid w:val="00DD113C"/>
    <w:rsid w:val="00DD2CF5"/>
    <w:rsid w:val="00DE63CD"/>
    <w:rsid w:val="00DF0E27"/>
    <w:rsid w:val="00E0158D"/>
    <w:rsid w:val="00E019A7"/>
    <w:rsid w:val="00E01DEA"/>
    <w:rsid w:val="00E04CB8"/>
    <w:rsid w:val="00E05BC7"/>
    <w:rsid w:val="00E05C5D"/>
    <w:rsid w:val="00E06D3F"/>
    <w:rsid w:val="00E1142C"/>
    <w:rsid w:val="00E24C58"/>
    <w:rsid w:val="00E2698B"/>
    <w:rsid w:val="00E3048B"/>
    <w:rsid w:val="00E32089"/>
    <w:rsid w:val="00E32C25"/>
    <w:rsid w:val="00E32D31"/>
    <w:rsid w:val="00E35BF6"/>
    <w:rsid w:val="00E36643"/>
    <w:rsid w:val="00E37DE6"/>
    <w:rsid w:val="00E4058E"/>
    <w:rsid w:val="00E4274D"/>
    <w:rsid w:val="00E427A1"/>
    <w:rsid w:val="00E42B30"/>
    <w:rsid w:val="00E458B7"/>
    <w:rsid w:val="00E53984"/>
    <w:rsid w:val="00E546D4"/>
    <w:rsid w:val="00E575B3"/>
    <w:rsid w:val="00E5779B"/>
    <w:rsid w:val="00E60FA5"/>
    <w:rsid w:val="00E623E6"/>
    <w:rsid w:val="00E679B0"/>
    <w:rsid w:val="00E7338B"/>
    <w:rsid w:val="00E809E3"/>
    <w:rsid w:val="00E812F5"/>
    <w:rsid w:val="00E81EAF"/>
    <w:rsid w:val="00E82C61"/>
    <w:rsid w:val="00E8586E"/>
    <w:rsid w:val="00E91392"/>
    <w:rsid w:val="00E94BE6"/>
    <w:rsid w:val="00E950FD"/>
    <w:rsid w:val="00EA3ED7"/>
    <w:rsid w:val="00EA43E5"/>
    <w:rsid w:val="00EA5E1A"/>
    <w:rsid w:val="00EA7DBB"/>
    <w:rsid w:val="00EB7A9C"/>
    <w:rsid w:val="00EC2BC4"/>
    <w:rsid w:val="00EC3A1C"/>
    <w:rsid w:val="00EC52D0"/>
    <w:rsid w:val="00EC683B"/>
    <w:rsid w:val="00ED2FFC"/>
    <w:rsid w:val="00ED3E01"/>
    <w:rsid w:val="00ED6C39"/>
    <w:rsid w:val="00EE12EE"/>
    <w:rsid w:val="00EE43F7"/>
    <w:rsid w:val="00EF33BD"/>
    <w:rsid w:val="00EF3D03"/>
    <w:rsid w:val="00EF48E7"/>
    <w:rsid w:val="00F04E5F"/>
    <w:rsid w:val="00F067C2"/>
    <w:rsid w:val="00F07C31"/>
    <w:rsid w:val="00F07F39"/>
    <w:rsid w:val="00F10C68"/>
    <w:rsid w:val="00F11E0D"/>
    <w:rsid w:val="00F15591"/>
    <w:rsid w:val="00F166D5"/>
    <w:rsid w:val="00F21B2B"/>
    <w:rsid w:val="00F25D48"/>
    <w:rsid w:val="00F26C34"/>
    <w:rsid w:val="00F36615"/>
    <w:rsid w:val="00F404DA"/>
    <w:rsid w:val="00F45800"/>
    <w:rsid w:val="00F506B4"/>
    <w:rsid w:val="00F51D87"/>
    <w:rsid w:val="00F523A6"/>
    <w:rsid w:val="00F5327D"/>
    <w:rsid w:val="00F61A23"/>
    <w:rsid w:val="00F61C46"/>
    <w:rsid w:val="00F6344A"/>
    <w:rsid w:val="00F777EB"/>
    <w:rsid w:val="00F8160F"/>
    <w:rsid w:val="00F82519"/>
    <w:rsid w:val="00F82923"/>
    <w:rsid w:val="00F83003"/>
    <w:rsid w:val="00F90DA2"/>
    <w:rsid w:val="00F91870"/>
    <w:rsid w:val="00F9473B"/>
    <w:rsid w:val="00FA038B"/>
    <w:rsid w:val="00FA0452"/>
    <w:rsid w:val="00FA383A"/>
    <w:rsid w:val="00FB2859"/>
    <w:rsid w:val="00FB3DA8"/>
    <w:rsid w:val="00FB5E09"/>
    <w:rsid w:val="00FC2DB5"/>
    <w:rsid w:val="00FC32F3"/>
    <w:rsid w:val="00FC366E"/>
    <w:rsid w:val="00FC429C"/>
    <w:rsid w:val="00FC4772"/>
    <w:rsid w:val="00FC5918"/>
    <w:rsid w:val="00FC6625"/>
    <w:rsid w:val="00FD1B50"/>
    <w:rsid w:val="00FD2D3E"/>
    <w:rsid w:val="00FD65EC"/>
    <w:rsid w:val="00FE0619"/>
    <w:rsid w:val="00FE3AEB"/>
    <w:rsid w:val="00FF0DD9"/>
    <w:rsid w:val="00FF34FF"/>
    <w:rsid w:val="00FF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D917"/>
  <w15:docId w15:val="{AB3538BA-2FF2-4DF1-BB4B-C55A0D95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AA1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CD0"/>
    <w:rPr>
      <w:rFonts w:asciiTheme="majorHAnsi" w:eastAsiaTheme="majorEastAsia" w:hAnsiTheme="majorHAnsi" w:cstheme="majorBidi"/>
      <w:spacing w:val="-10"/>
      <w:kern w:val="28"/>
      <w:sz w:val="56"/>
      <w:szCs w:val="56"/>
    </w:rPr>
  </w:style>
  <w:style w:type="paragraph" w:customStyle="1" w:styleId="1stLevelHeadHITB">
    <w:name w:val="1st Level Head HITB"/>
    <w:basedOn w:val="Normal"/>
    <w:next w:val="Normal"/>
    <w:link w:val="1stLevelHeadHITBChar"/>
    <w:rsid w:val="00D77C70"/>
    <w:pPr>
      <w:keepNext/>
      <w:spacing w:before="240" w:after="120" w:line="240" w:lineRule="auto"/>
      <w:contextualSpacing/>
      <w:jc w:val="center"/>
    </w:pPr>
    <w:rPr>
      <w:rFonts w:ascii="Times New Roman" w:eastAsia="Times New Roman" w:hAnsi="Times New Roman" w:cs="Times New Roman"/>
      <w:b/>
      <w:sz w:val="28"/>
      <w:szCs w:val="28"/>
    </w:rPr>
  </w:style>
  <w:style w:type="paragraph" w:customStyle="1" w:styleId="2ndLevelHeadHITB">
    <w:name w:val="2nd Level Head HITB"/>
    <w:basedOn w:val="Normal"/>
    <w:next w:val="Normal"/>
    <w:link w:val="2ndLevelHeadHITBChar"/>
    <w:rsid w:val="00D77C70"/>
    <w:pPr>
      <w:spacing w:before="120" w:after="0" w:line="240" w:lineRule="auto"/>
    </w:pPr>
    <w:rPr>
      <w:rFonts w:ascii="Times New Roman" w:eastAsia="Times New Roman" w:hAnsi="Times New Roman" w:cs="Times New Roman"/>
      <w:b/>
      <w:i/>
      <w:sz w:val="28"/>
      <w:szCs w:val="24"/>
    </w:rPr>
  </w:style>
  <w:style w:type="character" w:customStyle="1" w:styleId="2ndLevelHeadHITBChar">
    <w:name w:val="2nd Level Head HITB Char"/>
    <w:basedOn w:val="DefaultParagraphFont"/>
    <w:link w:val="2ndLevelHeadHITB"/>
    <w:locked/>
    <w:rsid w:val="00D77C70"/>
    <w:rPr>
      <w:rFonts w:ascii="Times New Roman" w:eastAsia="Times New Roman" w:hAnsi="Times New Roman" w:cs="Times New Roman"/>
      <w:b/>
      <w:i/>
      <w:sz w:val="28"/>
      <w:szCs w:val="24"/>
    </w:rPr>
  </w:style>
  <w:style w:type="character" w:customStyle="1" w:styleId="BibleFootnoteGray">
    <w:name w:val="BibleFootnoteGray"/>
    <w:basedOn w:val="DefaultParagraphFont"/>
    <w:uiPriority w:val="1"/>
    <w:rsid w:val="00D77C70"/>
    <w:rPr>
      <w:rFonts w:ascii="Adobe Jenson Pro" w:hAnsi="Adobe Jenson Pro" w:cs="Times New Roman"/>
      <w:color w:val="404040"/>
      <w:sz w:val="16"/>
    </w:rPr>
  </w:style>
  <w:style w:type="paragraph" w:customStyle="1" w:styleId="BibleIndentPoetryQuote">
    <w:name w:val="BibleIndentPoetryQuote"/>
    <w:basedOn w:val="Normal"/>
    <w:next w:val="Normal"/>
    <w:link w:val="BibleIndentPoetryQuoteCharChar"/>
    <w:rsid w:val="00D77C70"/>
    <w:pPr>
      <w:spacing w:after="120" w:line="233" w:lineRule="auto"/>
      <w:ind w:left="576" w:right="29" w:hanging="288"/>
      <w:contextualSpacing/>
    </w:pPr>
    <w:rPr>
      <w:rFonts w:ascii="Adobe Jenson Pro" w:eastAsia="Times New Roman" w:hAnsi="Adobe Jenson Pro" w:cs="Times New Roman"/>
      <w:spacing w:val="-10"/>
      <w:kern w:val="20"/>
    </w:rPr>
  </w:style>
  <w:style w:type="character" w:customStyle="1" w:styleId="BibleIndentPoetryQuoteCharChar">
    <w:name w:val="BibleIndentPoetryQuote Char Char"/>
    <w:basedOn w:val="DefaultParagraphFont"/>
    <w:link w:val="BibleIndentPoetryQuote"/>
    <w:locked/>
    <w:rsid w:val="00D77C70"/>
    <w:rPr>
      <w:rFonts w:ascii="Adobe Jenson Pro" w:eastAsia="Times New Roman" w:hAnsi="Adobe Jenson Pro" w:cs="Times New Roman"/>
      <w:spacing w:val="-10"/>
      <w:kern w:val="20"/>
    </w:rPr>
  </w:style>
  <w:style w:type="paragraph" w:customStyle="1" w:styleId="BibleIndentQuote">
    <w:name w:val="BibleIndentQuote"/>
    <w:basedOn w:val="BibleIndentPoetryQuote"/>
    <w:next w:val="Normal"/>
    <w:link w:val="BibleIndentQuoteChar"/>
    <w:rsid w:val="00D77C70"/>
    <w:pPr>
      <w:ind w:left="288" w:right="288" w:firstLine="0"/>
      <w:mirrorIndents/>
    </w:pPr>
    <w:rPr>
      <w:spacing w:val="0"/>
    </w:rPr>
  </w:style>
  <w:style w:type="character" w:customStyle="1" w:styleId="BibleIndentQuoteChar">
    <w:name w:val="BibleIndentQuote Char"/>
    <w:basedOn w:val="DefaultParagraphFont"/>
    <w:link w:val="BibleIndentQuote"/>
    <w:locked/>
    <w:rsid w:val="00D77C70"/>
    <w:rPr>
      <w:rFonts w:ascii="Adobe Jenson Pro" w:eastAsia="Times New Roman" w:hAnsi="Adobe Jenson Pro" w:cs="Times New Roman"/>
      <w:kern w:val="20"/>
    </w:rPr>
  </w:style>
  <w:style w:type="paragraph" w:customStyle="1" w:styleId="BiblePoetry">
    <w:name w:val="BiblePoetry"/>
    <w:basedOn w:val="Normal"/>
    <w:rsid w:val="00D77C70"/>
    <w:pPr>
      <w:spacing w:after="120" w:line="240" w:lineRule="auto"/>
      <w:ind w:left="576" w:right="29" w:hanging="288"/>
      <w:contextualSpacing/>
    </w:pPr>
    <w:rPr>
      <w:rFonts w:ascii="Eras Medium ITC" w:eastAsia="Times New Roman" w:hAnsi="Eras Medium ITC" w:cs="Times New Roman"/>
      <w:sz w:val="24"/>
      <w:szCs w:val="24"/>
    </w:rPr>
  </w:style>
  <w:style w:type="paragraph" w:customStyle="1" w:styleId="BibleRefBoldLM">
    <w:name w:val="BibleRefBoldLM"/>
    <w:basedOn w:val="Normal"/>
    <w:next w:val="Normal"/>
    <w:link w:val="BibleRefBoldLMChar"/>
    <w:rsid w:val="00D77C70"/>
    <w:pPr>
      <w:keepNext/>
      <w:spacing w:before="120" w:after="120" w:line="240" w:lineRule="auto"/>
      <w:jc w:val="both"/>
    </w:pPr>
    <w:rPr>
      <w:rFonts w:ascii="Times New Roman" w:eastAsia="Times New Roman" w:hAnsi="Times New Roman" w:cs="Times New Roman"/>
      <w:b/>
      <w:sz w:val="28"/>
      <w:szCs w:val="28"/>
    </w:rPr>
  </w:style>
  <w:style w:type="character" w:customStyle="1" w:styleId="BibleRefBoldLMChar">
    <w:name w:val="BibleRefBoldLM Char"/>
    <w:basedOn w:val="DefaultParagraphFont"/>
    <w:link w:val="BibleRefBoldLM"/>
    <w:locked/>
    <w:rsid w:val="00D77C70"/>
    <w:rPr>
      <w:rFonts w:ascii="Times New Roman" w:eastAsia="Times New Roman" w:hAnsi="Times New Roman" w:cs="Times New Roman"/>
      <w:b/>
      <w:sz w:val="28"/>
      <w:szCs w:val="28"/>
    </w:rPr>
  </w:style>
  <w:style w:type="paragraph" w:customStyle="1" w:styleId="BibleTrans">
    <w:name w:val="BibleTrans"/>
    <w:basedOn w:val="Normal"/>
    <w:link w:val="BibleTransChar"/>
    <w:qFormat/>
    <w:rsid w:val="00D77C70"/>
    <w:pPr>
      <w:spacing w:after="120" w:line="233" w:lineRule="auto"/>
      <w:jc w:val="both"/>
    </w:pPr>
    <w:rPr>
      <w:rFonts w:ascii="Adobe Jenson Pro" w:eastAsia="Times New Roman" w:hAnsi="Adobe Jenson Pro" w:cs="Times New Roman"/>
      <w:kern w:val="20"/>
      <w:szCs w:val="24"/>
    </w:rPr>
  </w:style>
  <w:style w:type="character" w:customStyle="1" w:styleId="BibleTransChar">
    <w:name w:val="BibleTrans Char"/>
    <w:basedOn w:val="DefaultParagraphFont"/>
    <w:link w:val="BibleTrans"/>
    <w:locked/>
    <w:rsid w:val="00D77C70"/>
    <w:rPr>
      <w:rFonts w:ascii="Adobe Jenson Pro" w:eastAsia="Times New Roman" w:hAnsi="Adobe Jenson Pro" w:cs="Times New Roman"/>
      <w:kern w:val="20"/>
      <w:szCs w:val="24"/>
    </w:rPr>
  </w:style>
  <w:style w:type="character" w:customStyle="1" w:styleId="BibleTransGray">
    <w:name w:val="BibleTrans Gray"/>
    <w:basedOn w:val="BibleTransChar"/>
    <w:uiPriority w:val="1"/>
    <w:qFormat/>
    <w:rsid w:val="00D77C70"/>
    <w:rPr>
      <w:rFonts w:ascii="Adobe Jenson Pro" w:eastAsia="Times New Roman" w:hAnsi="Adobe Jenson Pro" w:cs="Times New Roman"/>
      <w:color w:val="404040"/>
      <w:kern w:val="20"/>
      <w:sz w:val="22"/>
      <w:szCs w:val="24"/>
    </w:rPr>
  </w:style>
  <w:style w:type="paragraph" w:customStyle="1" w:styleId="BookTitleHITB">
    <w:name w:val="Book Title HITB"/>
    <w:basedOn w:val="Normal"/>
    <w:rsid w:val="00D77C70"/>
    <w:pPr>
      <w:spacing w:before="3200" w:after="0" w:line="240" w:lineRule="auto"/>
      <w:contextualSpacing/>
      <w:jc w:val="center"/>
    </w:pPr>
    <w:rPr>
      <w:rFonts w:ascii="Times New Roman" w:eastAsia="Times New Roman" w:hAnsi="Times New Roman" w:cs="Times New Roman"/>
      <w:sz w:val="36"/>
      <w:szCs w:val="20"/>
    </w:rPr>
  </w:style>
  <w:style w:type="paragraph" w:customStyle="1" w:styleId="BulletedList">
    <w:name w:val="BulletedList"/>
    <w:basedOn w:val="Normal"/>
    <w:link w:val="BulletedListChar"/>
    <w:qFormat/>
    <w:rsid w:val="00D77C70"/>
    <w:pPr>
      <w:numPr>
        <w:numId w:val="1"/>
      </w:numPr>
      <w:tabs>
        <w:tab w:val="left" w:pos="360"/>
      </w:tabs>
      <w:spacing w:before="120" w:after="120" w:line="240" w:lineRule="auto"/>
      <w:contextualSpacing/>
      <w:jc w:val="both"/>
    </w:pPr>
    <w:rPr>
      <w:rFonts w:ascii="Times New Roman" w:eastAsia="Times New Roman" w:hAnsi="Times New Roman" w:cs="Times New Roman"/>
      <w:sz w:val="28"/>
      <w:szCs w:val="28"/>
    </w:rPr>
  </w:style>
  <w:style w:type="character" w:customStyle="1" w:styleId="BulletedListChar">
    <w:name w:val="BulletedList Char"/>
    <w:basedOn w:val="DefaultParagraphFont"/>
    <w:link w:val="BulletedList"/>
    <w:rsid w:val="00D77C70"/>
    <w:rPr>
      <w:rFonts w:ascii="Times New Roman" w:eastAsia="Times New Roman" w:hAnsi="Times New Roman" w:cs="Times New Roman"/>
      <w:sz w:val="28"/>
      <w:szCs w:val="28"/>
    </w:rPr>
  </w:style>
  <w:style w:type="paragraph" w:customStyle="1" w:styleId="ChapTitleHITB">
    <w:name w:val="ChapTitleHITB"/>
    <w:basedOn w:val="Normal"/>
    <w:rsid w:val="00D77C70"/>
    <w:pPr>
      <w:spacing w:before="1000" w:after="120" w:line="288" w:lineRule="auto"/>
      <w:contextualSpacing/>
      <w:jc w:val="center"/>
    </w:pPr>
    <w:rPr>
      <w:rFonts w:ascii="Times New Roman" w:eastAsia="Times New Roman" w:hAnsi="Times New Roman" w:cs="Times New Roman"/>
      <w:b/>
      <w:sz w:val="32"/>
      <w:szCs w:val="28"/>
    </w:rPr>
  </w:style>
  <w:style w:type="paragraph" w:styleId="FootnoteText">
    <w:name w:val="footnote text"/>
    <w:basedOn w:val="Normal"/>
    <w:link w:val="FootnoteTextChar"/>
    <w:uiPriority w:val="99"/>
    <w:unhideWhenUsed/>
    <w:qFormat/>
    <w:rsid w:val="00D77C7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7C70"/>
    <w:rPr>
      <w:rFonts w:ascii="Times New Roman" w:eastAsia="Times New Roman" w:hAnsi="Times New Roman" w:cs="Times New Roman"/>
      <w:sz w:val="20"/>
      <w:szCs w:val="20"/>
    </w:rPr>
  </w:style>
  <w:style w:type="paragraph" w:customStyle="1" w:styleId="FootnoteIndentpoetry">
    <w:name w:val="Footnote Indentpoetry"/>
    <w:basedOn w:val="FootnoteText"/>
    <w:rsid w:val="00D77C70"/>
    <w:pPr>
      <w:ind w:left="1080" w:hanging="360"/>
    </w:pPr>
  </w:style>
  <w:style w:type="character" w:styleId="FootnoteReference">
    <w:name w:val="footnote reference"/>
    <w:basedOn w:val="DefaultParagraphFont"/>
    <w:uiPriority w:val="99"/>
    <w:unhideWhenUsed/>
    <w:qFormat/>
    <w:rsid w:val="00D77C70"/>
    <w:rPr>
      <w:rFonts w:cs="Times New Roman"/>
      <w:vertAlign w:val="superscript"/>
    </w:rPr>
  </w:style>
  <w:style w:type="character" w:customStyle="1" w:styleId="FootnoteMarker">
    <w:name w:val="FootnoteMarker"/>
    <w:basedOn w:val="FootnoteReference"/>
    <w:uiPriority w:val="1"/>
    <w:rsid w:val="00D77C70"/>
    <w:rPr>
      <w:rFonts w:cs="Times New Roman"/>
      <w:vertAlign w:val="superscript"/>
    </w:rPr>
  </w:style>
  <w:style w:type="character" w:customStyle="1" w:styleId="Gray">
    <w:name w:val="Gray"/>
    <w:basedOn w:val="BibleIndentPoetryQuoteCharChar"/>
    <w:uiPriority w:val="1"/>
    <w:rsid w:val="00D77C70"/>
    <w:rPr>
      <w:rFonts w:ascii="Times New Roman" w:eastAsia="Times New Roman" w:hAnsi="Times New Roman" w:cs="Times New Roman"/>
      <w:color w:val="404040"/>
      <w:spacing w:val="-10"/>
      <w:kern w:val="20"/>
    </w:rPr>
  </w:style>
  <w:style w:type="character" w:customStyle="1" w:styleId="GrayBible">
    <w:name w:val="Gray Bible"/>
    <w:basedOn w:val="DefaultParagraphFont"/>
    <w:uiPriority w:val="1"/>
    <w:qFormat/>
    <w:rsid w:val="00D77C70"/>
    <w:rPr>
      <w:rFonts w:ascii="Times New Roman" w:eastAsia="Times New Roman" w:hAnsi="Times New Roman" w:cs="Times New Roman"/>
      <w:color w:val="404040"/>
      <w:spacing w:val="0"/>
      <w:kern w:val="20"/>
      <w:sz w:val="28"/>
      <w:szCs w:val="24"/>
    </w:rPr>
  </w:style>
  <w:style w:type="paragraph" w:styleId="Header">
    <w:name w:val="header"/>
    <w:basedOn w:val="Normal"/>
    <w:link w:val="HeaderChar"/>
    <w:uiPriority w:val="99"/>
    <w:unhideWhenUsed/>
    <w:rsid w:val="00D77C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77C70"/>
    <w:rPr>
      <w:rFonts w:ascii="Times New Roman" w:eastAsia="Times New Roman" w:hAnsi="Times New Roman" w:cs="Times New Roman"/>
      <w:sz w:val="24"/>
      <w:szCs w:val="24"/>
    </w:rPr>
  </w:style>
  <w:style w:type="paragraph" w:customStyle="1" w:styleId="indent">
    <w:name w:val="indent"/>
    <w:basedOn w:val="Normal"/>
    <w:next w:val="MainText"/>
    <w:link w:val="indentChar"/>
    <w:autoRedefine/>
    <w:qFormat/>
    <w:rsid w:val="00907632"/>
    <w:pPr>
      <w:spacing w:before="120" w:after="120" w:line="240" w:lineRule="auto"/>
      <w:ind w:left="720" w:right="360"/>
      <w:jc w:val="both"/>
    </w:pPr>
    <w:rPr>
      <w:rFonts w:ascii="Times New Roman" w:eastAsia="Times New Roman" w:hAnsi="Times New Roman" w:cs="Times New Roman"/>
      <w:sz w:val="24"/>
      <w:szCs w:val="28"/>
    </w:rPr>
  </w:style>
  <w:style w:type="character" w:customStyle="1" w:styleId="indentChar">
    <w:name w:val="indent Char"/>
    <w:basedOn w:val="DefaultParagraphFont"/>
    <w:link w:val="indent"/>
    <w:locked/>
    <w:rsid w:val="00907632"/>
    <w:rPr>
      <w:rFonts w:ascii="Times New Roman" w:eastAsia="Times New Roman" w:hAnsi="Times New Roman" w:cs="Times New Roman"/>
      <w:sz w:val="24"/>
      <w:szCs w:val="28"/>
    </w:rPr>
  </w:style>
  <w:style w:type="paragraph" w:customStyle="1" w:styleId="indentpoetry">
    <w:name w:val="indentpoetry"/>
    <w:basedOn w:val="indent"/>
    <w:qFormat/>
    <w:rsid w:val="00D77C70"/>
    <w:pPr>
      <w:tabs>
        <w:tab w:val="right" w:pos="9360"/>
      </w:tabs>
      <w:ind w:left="1080" w:right="0" w:hanging="360"/>
      <w:contextualSpacing/>
      <w:jc w:val="left"/>
    </w:pPr>
    <w:rPr>
      <w:color w:val="010000"/>
    </w:rPr>
  </w:style>
  <w:style w:type="paragraph" w:customStyle="1" w:styleId="MainText0">
    <w:name w:val="MainText"/>
    <w:link w:val="MainTextChar"/>
    <w:rsid w:val="00555C8E"/>
    <w:pPr>
      <w:tabs>
        <w:tab w:val="left" w:pos="360"/>
      </w:tabs>
      <w:spacing w:after="120"/>
    </w:pPr>
    <w:rPr>
      <w:rFonts w:ascii="Times New Roman" w:eastAsia="Times New Roman" w:hAnsi="Times New Roman" w:cs="Times New Roman"/>
      <w:sz w:val="28"/>
      <w:szCs w:val="28"/>
    </w:rPr>
  </w:style>
  <w:style w:type="character" w:customStyle="1" w:styleId="MainTextChar">
    <w:name w:val="MainText Char"/>
    <w:basedOn w:val="BibleRefBoldLMChar"/>
    <w:link w:val="MainText0"/>
    <w:locked/>
    <w:rsid w:val="00555C8E"/>
    <w:rPr>
      <w:rFonts w:ascii="Times New Roman" w:eastAsia="Times New Roman" w:hAnsi="Times New Roman" w:cs="Times New Roman"/>
      <w:b w:val="0"/>
      <w:sz w:val="28"/>
      <w:szCs w:val="28"/>
    </w:rPr>
  </w:style>
  <w:style w:type="paragraph" w:customStyle="1" w:styleId="MainTextBullets">
    <w:name w:val="Main Text Bullets"/>
    <w:basedOn w:val="MainText0"/>
    <w:rsid w:val="00D77C70"/>
    <w:pPr>
      <w:numPr>
        <w:numId w:val="2"/>
      </w:numPr>
      <w:tabs>
        <w:tab w:val="num" w:pos="360"/>
      </w:tabs>
      <w:contextualSpacing/>
    </w:pPr>
  </w:style>
  <w:style w:type="paragraph" w:customStyle="1" w:styleId="ScriptureHead">
    <w:name w:val="Scripture Head"/>
    <w:basedOn w:val="BibleRefBoldLM"/>
    <w:link w:val="ScriptureHeadChar"/>
    <w:qFormat/>
    <w:rsid w:val="00D77C70"/>
  </w:style>
  <w:style w:type="character" w:customStyle="1" w:styleId="ScriptureHeadChar">
    <w:name w:val="Scripture Head Char"/>
    <w:basedOn w:val="BibleRefBoldLMChar"/>
    <w:link w:val="ScriptureHead"/>
    <w:locked/>
    <w:rsid w:val="00D77C70"/>
    <w:rPr>
      <w:rFonts w:ascii="Times New Roman" w:eastAsia="Times New Roman" w:hAnsi="Times New Roman" w:cs="Times New Roman"/>
      <w:b/>
      <w:sz w:val="28"/>
      <w:szCs w:val="28"/>
    </w:rPr>
  </w:style>
  <w:style w:type="character" w:customStyle="1" w:styleId="small-caps">
    <w:name w:val="small-caps"/>
    <w:rsid w:val="00D77C70"/>
  </w:style>
  <w:style w:type="character" w:customStyle="1" w:styleId="SubscriptHITB">
    <w:name w:val="SubscriptHITB"/>
    <w:uiPriority w:val="1"/>
    <w:rsid w:val="00D77C70"/>
    <w:rPr>
      <w:rFonts w:ascii="Times New Roman" w:hAnsi="Times New Roman"/>
      <w:color w:val="404040"/>
      <w:sz w:val="28"/>
      <w:vertAlign w:val="subscript"/>
    </w:rPr>
  </w:style>
  <w:style w:type="character" w:customStyle="1" w:styleId="SuperscriptHITB">
    <w:name w:val="SuperscriptHITB"/>
    <w:basedOn w:val="SubscriptHITB"/>
    <w:uiPriority w:val="1"/>
    <w:rsid w:val="00D77C70"/>
    <w:rPr>
      <w:rFonts w:ascii="Times New Roman" w:hAnsi="Times New Roman" w:cs="Times New Roman"/>
      <w:color w:val="404040"/>
      <w:sz w:val="28"/>
      <w:vertAlign w:val="superscript"/>
    </w:rPr>
  </w:style>
  <w:style w:type="paragraph" w:customStyle="1" w:styleId="VerseCommentary">
    <w:name w:val="Verse Commentary"/>
    <w:basedOn w:val="MainText0"/>
    <w:rsid w:val="00D77C70"/>
    <w:pPr>
      <w:spacing w:before="120"/>
    </w:pPr>
  </w:style>
  <w:style w:type="character" w:customStyle="1" w:styleId="versenum">
    <w:name w:val="versenum"/>
    <w:basedOn w:val="DefaultParagraphFont"/>
    <w:qFormat/>
    <w:rsid w:val="00D77C70"/>
    <w:rPr>
      <w:rFonts w:ascii="Times New Roman" w:hAnsi="Times New Roman" w:cs="Times New Roman"/>
      <w:color w:val="404040"/>
      <w:position w:val="0"/>
      <w:sz w:val="18"/>
      <w:szCs w:val="18"/>
      <w:vertAlign w:val="subscript"/>
    </w:rPr>
  </w:style>
  <w:style w:type="paragraph" w:customStyle="1" w:styleId="MainText">
    <w:name w:val="Main Text"/>
    <w:basedOn w:val="Normal"/>
    <w:autoRedefine/>
    <w:qFormat/>
    <w:rsid w:val="00B26AC0"/>
    <w:pPr>
      <w:spacing w:after="120" w:line="240" w:lineRule="auto"/>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177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17713"/>
    <w:rPr>
      <w:rFonts w:ascii="Consolas" w:hAnsi="Consolas"/>
      <w:sz w:val="21"/>
      <w:szCs w:val="21"/>
    </w:rPr>
  </w:style>
  <w:style w:type="character" w:styleId="Hyperlink">
    <w:name w:val="Hyperlink"/>
    <w:basedOn w:val="DefaultParagraphFont"/>
    <w:uiPriority w:val="99"/>
    <w:unhideWhenUsed/>
    <w:rsid w:val="000C47EB"/>
    <w:rPr>
      <w:color w:val="0563C1" w:themeColor="hyperlink"/>
      <w:u w:val="single"/>
    </w:rPr>
  </w:style>
  <w:style w:type="paragraph" w:styleId="EndnoteText">
    <w:name w:val="endnote text"/>
    <w:basedOn w:val="Normal"/>
    <w:link w:val="EndnoteTextChar"/>
    <w:uiPriority w:val="99"/>
    <w:semiHidden/>
    <w:unhideWhenUsed/>
    <w:rsid w:val="00FA38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83A"/>
    <w:rPr>
      <w:sz w:val="20"/>
      <w:szCs w:val="20"/>
    </w:rPr>
  </w:style>
  <w:style w:type="character" w:styleId="EndnoteReference">
    <w:name w:val="endnote reference"/>
    <w:basedOn w:val="DefaultParagraphFont"/>
    <w:uiPriority w:val="99"/>
    <w:semiHidden/>
    <w:unhideWhenUsed/>
    <w:rsid w:val="00FA383A"/>
    <w:rPr>
      <w:vertAlign w:val="superscript"/>
    </w:rPr>
  </w:style>
  <w:style w:type="table" w:styleId="TableGrid">
    <w:name w:val="Table Grid"/>
    <w:basedOn w:val="TableNormal"/>
    <w:uiPriority w:val="39"/>
    <w:rsid w:val="004B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YBibliography">
    <w:name w:val="ATY Bibliography"/>
    <w:basedOn w:val="Normal"/>
    <w:uiPriority w:val="1"/>
    <w:rsid w:val="00AD0D1C"/>
    <w:pPr>
      <w:spacing w:after="0" w:line="240" w:lineRule="auto"/>
      <w:ind w:left="576" w:hanging="576"/>
      <w:jc w:val="both"/>
    </w:pPr>
    <w:rPr>
      <w:rFonts w:ascii="Times New Roman" w:hAnsi="Times New Roman"/>
      <w:color w:val="000000"/>
      <w:spacing w:val="-1"/>
    </w:rPr>
  </w:style>
  <w:style w:type="character" w:styleId="FollowedHyperlink">
    <w:name w:val="FollowedHyperlink"/>
    <w:basedOn w:val="DefaultParagraphFont"/>
    <w:uiPriority w:val="99"/>
    <w:semiHidden/>
    <w:unhideWhenUsed/>
    <w:rsid w:val="00684932"/>
    <w:rPr>
      <w:color w:val="954F72" w:themeColor="followedHyperlink"/>
      <w:u w:val="single"/>
    </w:rPr>
  </w:style>
  <w:style w:type="paragraph" w:styleId="Revision">
    <w:name w:val="Revision"/>
    <w:hidden/>
    <w:uiPriority w:val="99"/>
    <w:semiHidden/>
    <w:rsid w:val="00243D6B"/>
    <w:pPr>
      <w:spacing w:after="0" w:line="240" w:lineRule="auto"/>
    </w:pPr>
  </w:style>
  <w:style w:type="paragraph" w:styleId="BalloonText">
    <w:name w:val="Balloon Text"/>
    <w:basedOn w:val="Normal"/>
    <w:link w:val="BalloonTextChar"/>
    <w:uiPriority w:val="99"/>
    <w:semiHidden/>
    <w:unhideWhenUsed/>
    <w:rsid w:val="00243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6B"/>
    <w:rPr>
      <w:rFonts w:ascii="Segoe UI" w:hAnsi="Segoe UI" w:cs="Segoe UI"/>
      <w:sz w:val="18"/>
      <w:szCs w:val="18"/>
    </w:rPr>
  </w:style>
  <w:style w:type="character" w:styleId="CommentReference">
    <w:name w:val="annotation reference"/>
    <w:basedOn w:val="DefaultParagraphFont"/>
    <w:uiPriority w:val="99"/>
    <w:semiHidden/>
    <w:unhideWhenUsed/>
    <w:rsid w:val="00316B06"/>
    <w:rPr>
      <w:sz w:val="16"/>
      <w:szCs w:val="16"/>
    </w:rPr>
  </w:style>
  <w:style w:type="paragraph" w:styleId="CommentText">
    <w:name w:val="annotation text"/>
    <w:basedOn w:val="Normal"/>
    <w:link w:val="CommentTextChar"/>
    <w:uiPriority w:val="99"/>
    <w:semiHidden/>
    <w:unhideWhenUsed/>
    <w:rsid w:val="00316B06"/>
    <w:pPr>
      <w:spacing w:line="240" w:lineRule="auto"/>
    </w:pPr>
    <w:rPr>
      <w:sz w:val="20"/>
      <w:szCs w:val="20"/>
    </w:rPr>
  </w:style>
  <w:style w:type="character" w:customStyle="1" w:styleId="CommentTextChar">
    <w:name w:val="Comment Text Char"/>
    <w:basedOn w:val="DefaultParagraphFont"/>
    <w:link w:val="CommentText"/>
    <w:uiPriority w:val="99"/>
    <w:semiHidden/>
    <w:rsid w:val="00316B06"/>
    <w:rPr>
      <w:sz w:val="20"/>
      <w:szCs w:val="20"/>
    </w:rPr>
  </w:style>
  <w:style w:type="paragraph" w:styleId="CommentSubject">
    <w:name w:val="annotation subject"/>
    <w:basedOn w:val="CommentText"/>
    <w:next w:val="CommentText"/>
    <w:link w:val="CommentSubjectChar"/>
    <w:uiPriority w:val="99"/>
    <w:semiHidden/>
    <w:unhideWhenUsed/>
    <w:rsid w:val="00316B06"/>
    <w:rPr>
      <w:b/>
      <w:bCs/>
    </w:rPr>
  </w:style>
  <w:style w:type="character" w:customStyle="1" w:styleId="CommentSubjectChar">
    <w:name w:val="Comment Subject Char"/>
    <w:basedOn w:val="CommentTextChar"/>
    <w:link w:val="CommentSubject"/>
    <w:uiPriority w:val="99"/>
    <w:semiHidden/>
    <w:rsid w:val="00316B06"/>
    <w:rPr>
      <w:b/>
      <w:bCs/>
      <w:sz w:val="20"/>
      <w:szCs w:val="20"/>
    </w:rPr>
  </w:style>
  <w:style w:type="paragraph" w:styleId="Footer">
    <w:name w:val="footer"/>
    <w:basedOn w:val="Normal"/>
    <w:link w:val="FooterChar"/>
    <w:uiPriority w:val="99"/>
    <w:unhideWhenUsed/>
    <w:rsid w:val="0008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60"/>
  </w:style>
  <w:style w:type="paragraph" w:customStyle="1" w:styleId="MainHeading">
    <w:name w:val="MainHeading"/>
    <w:basedOn w:val="1stLevelHeadHITB"/>
    <w:link w:val="MainHeadingChar"/>
    <w:qFormat/>
    <w:rsid w:val="00E3048B"/>
  </w:style>
  <w:style w:type="character" w:customStyle="1" w:styleId="1stLevelHeadHITBChar">
    <w:name w:val="1st Level Head HITB Char"/>
    <w:basedOn w:val="DefaultParagraphFont"/>
    <w:link w:val="1stLevelHeadHITB"/>
    <w:rsid w:val="00E3048B"/>
    <w:rPr>
      <w:rFonts w:ascii="Times New Roman" w:eastAsia="Times New Roman" w:hAnsi="Times New Roman" w:cs="Times New Roman"/>
      <w:b/>
      <w:sz w:val="28"/>
      <w:szCs w:val="28"/>
    </w:rPr>
  </w:style>
  <w:style w:type="character" w:customStyle="1" w:styleId="MainHeadingChar">
    <w:name w:val="MainHeading Char"/>
    <w:basedOn w:val="1stLevelHeadHITBChar"/>
    <w:link w:val="MainHeading"/>
    <w:rsid w:val="00E3048B"/>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1183">
      <w:bodyDiv w:val="1"/>
      <w:marLeft w:val="0"/>
      <w:marRight w:val="0"/>
      <w:marTop w:val="0"/>
      <w:marBottom w:val="0"/>
      <w:divBdr>
        <w:top w:val="none" w:sz="0" w:space="0" w:color="auto"/>
        <w:left w:val="none" w:sz="0" w:space="0" w:color="auto"/>
        <w:bottom w:val="none" w:sz="0" w:space="0" w:color="auto"/>
        <w:right w:val="none" w:sz="0" w:space="0" w:color="auto"/>
      </w:divBdr>
    </w:div>
    <w:div w:id="1297183084">
      <w:bodyDiv w:val="1"/>
      <w:marLeft w:val="0"/>
      <w:marRight w:val="0"/>
      <w:marTop w:val="0"/>
      <w:marBottom w:val="0"/>
      <w:divBdr>
        <w:top w:val="none" w:sz="0" w:space="0" w:color="auto"/>
        <w:left w:val="none" w:sz="0" w:space="0" w:color="auto"/>
        <w:bottom w:val="none" w:sz="0" w:space="0" w:color="auto"/>
        <w:right w:val="none" w:sz="0" w:space="0" w:color="auto"/>
      </w:divBdr>
    </w:div>
    <w:div w:id="1513302894">
      <w:bodyDiv w:val="1"/>
      <w:marLeft w:val="0"/>
      <w:marRight w:val="0"/>
      <w:marTop w:val="0"/>
      <w:marBottom w:val="0"/>
      <w:divBdr>
        <w:top w:val="none" w:sz="0" w:space="0" w:color="auto"/>
        <w:left w:val="none" w:sz="0" w:space="0" w:color="auto"/>
        <w:bottom w:val="none" w:sz="0" w:space="0" w:color="auto"/>
        <w:right w:val="none" w:sz="0" w:space="0" w:color="auto"/>
      </w:divBdr>
    </w:div>
    <w:div w:id="1624458660">
      <w:bodyDiv w:val="1"/>
      <w:marLeft w:val="0"/>
      <w:marRight w:val="0"/>
      <w:marTop w:val="0"/>
      <w:marBottom w:val="0"/>
      <w:divBdr>
        <w:top w:val="none" w:sz="0" w:space="0" w:color="auto"/>
        <w:left w:val="none" w:sz="0" w:space="0" w:color="auto"/>
        <w:bottom w:val="none" w:sz="0" w:space="0" w:color="auto"/>
        <w:right w:val="none" w:sz="0" w:space="0" w:color="auto"/>
      </w:divBdr>
    </w:div>
    <w:div w:id="1666665753">
      <w:bodyDiv w:val="1"/>
      <w:marLeft w:val="0"/>
      <w:marRight w:val="0"/>
      <w:marTop w:val="0"/>
      <w:marBottom w:val="0"/>
      <w:divBdr>
        <w:top w:val="none" w:sz="0" w:space="0" w:color="auto"/>
        <w:left w:val="none" w:sz="0" w:space="0" w:color="auto"/>
        <w:bottom w:val="none" w:sz="0" w:space="0" w:color="auto"/>
        <w:right w:val="none" w:sz="0" w:space="0" w:color="auto"/>
      </w:divBdr>
    </w:div>
    <w:div w:id="1691687332">
      <w:bodyDiv w:val="1"/>
      <w:marLeft w:val="0"/>
      <w:marRight w:val="0"/>
      <w:marTop w:val="0"/>
      <w:marBottom w:val="0"/>
      <w:divBdr>
        <w:top w:val="none" w:sz="0" w:space="0" w:color="auto"/>
        <w:left w:val="none" w:sz="0" w:space="0" w:color="auto"/>
        <w:bottom w:val="none" w:sz="0" w:space="0" w:color="auto"/>
        <w:right w:val="none" w:sz="0" w:space="0" w:color="auto"/>
      </w:divBdr>
      <w:divsChild>
        <w:div w:id="784426712">
          <w:marLeft w:val="0"/>
          <w:marRight w:val="0"/>
          <w:marTop w:val="0"/>
          <w:marBottom w:val="0"/>
          <w:divBdr>
            <w:top w:val="single" w:sz="2" w:space="0" w:color="000000"/>
            <w:left w:val="single" w:sz="2" w:space="4" w:color="000000"/>
            <w:bottom w:val="single" w:sz="2" w:space="0" w:color="000000"/>
            <w:right w:val="single" w:sz="2" w:space="8" w:color="000000"/>
          </w:divBdr>
        </w:div>
        <w:div w:id="1539195364">
          <w:marLeft w:val="0"/>
          <w:marRight w:val="0"/>
          <w:marTop w:val="0"/>
          <w:marBottom w:val="0"/>
          <w:divBdr>
            <w:top w:val="single" w:sz="2" w:space="0" w:color="000000"/>
            <w:left w:val="single" w:sz="2" w:space="6" w:color="000000"/>
            <w:bottom w:val="single" w:sz="2" w:space="0" w:color="000000"/>
            <w:right w:val="single" w:sz="2" w:space="8" w:color="000000"/>
          </w:divBdr>
          <w:divsChild>
            <w:div w:id="6510955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839692090">
      <w:bodyDiv w:val="1"/>
      <w:marLeft w:val="0"/>
      <w:marRight w:val="0"/>
      <w:marTop w:val="0"/>
      <w:marBottom w:val="0"/>
      <w:divBdr>
        <w:top w:val="none" w:sz="0" w:space="0" w:color="auto"/>
        <w:left w:val="none" w:sz="0" w:space="0" w:color="auto"/>
        <w:bottom w:val="none" w:sz="0" w:space="0" w:color="auto"/>
        <w:right w:val="none" w:sz="0" w:space="0" w:color="auto"/>
      </w:divBdr>
    </w:div>
    <w:div w:id="199872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16</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Mealy</dc:creator>
  <cp:keywords/>
  <dc:description/>
  <cp:lastModifiedBy>James Mealy</cp:lastModifiedBy>
  <cp:revision>7</cp:revision>
  <cp:lastPrinted>2023-01-24T23:20:00Z</cp:lastPrinted>
  <dcterms:created xsi:type="dcterms:W3CDTF">2024-03-12T21:13:00Z</dcterms:created>
  <dcterms:modified xsi:type="dcterms:W3CDTF">2024-03-13T22:43:00Z</dcterms:modified>
</cp:coreProperties>
</file>